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EzHdlFachwPrV — Zulassungsvoraussetzungen</w:t>
      </w:r>
    </w:p>
    <w:p>
      <w:r>
        <w:rPr>
          <w:color w:val="555555"/>
          <w:sz w:val="18"/>
        </w:rPr>
        <w:t xml:space="preserve">Verordnung über die Prüfung zum anerkannten Fortbildungsabschluss Geprüfter Fachwirt für Vertrieb im Einzelhandel und Geprüfte Fachwirtin für Vertrieb im Einzelhandel</w:t>
      </w:r>
    </w:p>
    <w:p>
      <w:r>
        <w:rPr>
          <w:color w:val="555555"/>
          <w:sz w:val="18"/>
        </w:rPr>
        <w:t xml:space="preserve">Stand: 10.06.2019 (konsolidierte Textfassung, kein amtliches Inkrafttretensdatum)</w:t>
      </w:r>
    </w:p>
    <w:p>
      <w:r>
        <w:t xml:space="preserve">(1) Zur ersten schriftlichen Teilprüfung nach § 3 Absatz 2 und 3 ist zuzulassen, wer</w:t>
      </w:r>
    </w:p>
    <w:p>
      <w:pPr>
        <w:ind w:left="420"/>
      </w:pPr>
      <w:r>
        <w:t xml:space="preserve">1. eine mit Erfolg abgelegte Abschlussprüfung in einem anerkannten dreijährigen kaufmännischen Ausbildungsberuf im Einzelhandel und danach eine mindestens einjährige Berufspraxis oder</w:t>
      </w:r>
    </w:p>
    <w:p>
      <w:pPr>
        <w:ind w:left="420"/>
      </w:pPr>
      <w:r>
        <w:t xml:space="preserve">2. eine mit Erfolg abgelegte Abschlussprüfung zum Verkäufer oder zur Verkäuferin oder in einem anerkannten dreijährigen kaufmännisch-verwaltenden Ausbildungsberuf und danach eine mindestens zweijährige Berufspraxis oder</w:t>
      </w:r>
    </w:p>
    <w:p>
      <w:pPr>
        <w:ind w:left="420"/>
      </w:pPr>
      <w:r>
        <w:t xml:space="preserve">3. den Erwerb von mindestens 90 ECTS-Punkten in einem betriebswirtschaftlichen Studium und eine mindestens zweijährige Berufspraxis oder</w:t>
      </w:r>
    </w:p>
    <w:p>
      <w:pPr>
        <w:ind w:left="420"/>
      </w:pPr>
      <w:r>
        <w:t xml:space="preserve">4. eine mindestens fünfjährige Berufspraxis</w:t>
      </w:r>
    </w:p>
    <w:p>
      <w:r>
        <w:t xml:space="preserve">nachweist.</w:t>
      </w:r>
    </w:p>
    <w:p>
      <w:r>
        <w:t xml:space="preserve">(2) Die Berufspraxis nach Absatz 1 muss in Verkaufstätigkeiten oder anderen kaufmännischen Tätigkeiten im institutionellen oder funktionellen Handel erworben sein und inhaltlich wesentliche Bezüge zu den in § 1 Absatz 2 genannten Aufgaben haben.</w:t>
      </w:r>
    </w:p>
    <w:p>
      <w:r>
        <w:t xml:space="preserve">(3) Zur zweiten schriftlichen Teilprüfung nach § 3 Absatz 2 und 4 ist zuzulassen, wer die erste schriftliche Teilprüfung abgelegt hat, die nicht länger als zwei Jahre zurückliegt.</w:t>
      </w:r>
    </w:p>
    <w:p>
      <w:r>
        <w:t xml:space="preserve">(4) Abweichend von Absatz 1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EzHdlFachwPrV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https://recht.nulegal.eu/gesetze/EzHdlFachwPrV/2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EzHdlFachwPrV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