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ExpertenratV</w:t>
      </w:r>
    </w:p>
    <w:p>
      <w:r>
        <w:rPr>
          <w:color w:val="555555"/>
          <w:sz w:val="18"/>
        </w:rPr>
        <w:t xml:space="preserve">Expertenrat-Verordnung</w:t>
      </w:r>
    </w:p>
    <w:p>
      <w:r>
        <w:rPr>
          <w:color w:val="555555"/>
          <w:sz w:val="18"/>
        </w:rPr>
        <w:t xml:space="preserve">Stand: 14.11.2020 (konsolidierte Textfassung, kein amtliches Inkrafttretensdatum)</w:t>
      </w:r>
    </w:p>
    <w:p>
      <w:r>
        <w:t xml:space="preserve">Auf Grund des § 11 Absatz 5 des Bundes-Klimaschutzgesetzes vom 12. Dezember 2019 (BGBl. I S. 2513) verordnet die Bundesregierung:</w:t>
      </w:r>
    </w:p>
    <w:p>
      <w:r>
        <w:rPr>
          <w:color w:val="555555"/>
          <w:sz w:val="17"/>
        </w:rPr>
        <w:t xml:space="preserve">Zitiervorschlag: Eingangsformel ExpertenratV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https://recht.nulegal.eu/gesetze/ExpertenratV/eingangsformel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