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ExpertenratV — Datenübermittlung</w:t>
      </w:r>
    </w:p>
    <w:p>
      <w:r>
        <w:rPr>
          <w:color w:val="555555"/>
          <w:sz w:val="18"/>
        </w:rPr>
        <w:t xml:space="preserve">Expertenrat-Verordnung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(1) Enthalten Daten, die nach § 12 Absatz 4 des Bundes-Klimaschutzgesetzes zur Wahrnehmung der Aufgaben des Expertenrats für Klimafragen benötigt werden, Betriebs- und Geschäftsgeheimnisse, weist die übermittelnde Stelle des Bundes im Sinne des § 2 Absatz 1 des Bundesdatenschutzgesetzes vom 30. Juni 2017 (BGBl. I S. 2097), das durch Artikel 12 des Gesetzes vom 20. November 2019 (BGBl. I S. 1626) geändert worden ist, in der jeweils geltenden Fassung die Geschäftsstelle des Expertenrats für Klimafragen darauf hin.</w:t>
      </w:r>
    </w:p>
    <w:p>
      <w:r>
        <w:t xml:space="preserve">(2) Der Expertenrat für Klimafragen und die Geschäftsstelle sind für den Schutz der Vertraulichkeit der übermittelten Daten verantwortlich.</w:t>
      </w:r>
    </w:p>
    <w:p>
      <w:r>
        <w:t xml:space="preserve">(3) Entwürfe, die zur Bearbeitung der Aufgaben nach § 12 Absatz 2 und 3 Satz 1 des Bundes-Klimaschutzgesetzes übermittelt werden, stellen vertrauliche Informationen im Sinne des § 3 Absatz 3 Satz 2 dar.</w:t>
      </w:r>
    </w:p>
    <w:p>
      <w:r>
        <w:rPr>
          <w:color w:val="555555"/>
          <w:sz w:val="17"/>
        </w:rPr>
        <w:t xml:space="preserve">Zitiervorschlag: § 7 ExpertenratV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https://recht.nulegal.eu/gesetze/ExpertenratV/7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