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ExpertenratV — Ausscheiden eines Mitglieds des Expertenrats für Klimafragen</w:t>
      </w:r>
    </w:p>
    <w:p>
      <w:r>
        <w:rPr>
          <w:color w:val="555555"/>
          <w:sz w:val="18"/>
        </w:rPr>
        <w:t xml:space="preserve">Expertenrat-Verordnung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(1) Die Mitglieder des Expertenrats für Klimafragen sind berechtigt, ihr Amt durch schriftliche Erklärung gegenüber der Bundesregierung niederzulegen.</w:t>
      </w:r>
    </w:p>
    <w:p>
      <w:r>
        <w:t xml:space="preserve">(2) Erklärt ein Mitglied sein Ausscheiden, scheidet es erst nach dem Ablauf des übernächsten Monats nach Eingang der Mitteilung aus.</w:t>
      </w:r>
    </w:p>
    <w:p>
      <w:r>
        <w:t xml:space="preserve">(3) Scheidet ein Mitglied vorzeitig aus, so wird ein neues Mitglied für die verbleibende Dauer der Amtszeit des ausgeschiedenen Mitglieds durch die Bundesregierung benannt.</w:t>
      </w:r>
    </w:p>
    <w:p>
      <w:r>
        <w:rPr>
          <w:color w:val="555555"/>
          <w:sz w:val="17"/>
        </w:rPr>
        <w:t xml:space="preserve">Zitiervorschlag: § 4 ExpertenratV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https://recht.nulegal.eu/gesetze/ExpertenratV/4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