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10 ExpertenratV — Inkrafttreten</w:t>
      </w:r>
    </w:p>
    <w:p>
      <w:r>
        <w:rPr>
          <w:color w:val="555555"/>
          <w:sz w:val="18"/>
        </w:rPr>
        <w:t xml:space="preserve">Expertenrat-Verordnung</w:t>
      </w:r>
    </w:p>
    <w:p>
      <w:r>
        <w:rPr>
          <w:color w:val="555555"/>
          <w:sz w:val="18"/>
        </w:rPr>
        <w:t xml:space="preserve">Stand: 14.11.2020 (konsolidierte Textfassung, kein amtliches Inkrafttretensdatum)</w:t>
      </w:r>
    </w:p>
    <w:p>
      <w:r>
        <w:t xml:space="preserve">Diese Verordnung tritt am Tag nach der Verkündung in Kraft.</w:t>
      </w:r>
    </w:p>
    <w:p>
      <w:r>
        <w:rPr>
          <w:color w:val="555555"/>
          <w:sz w:val="17"/>
        </w:rPr>
        <w:t xml:space="preserve">Zitiervorschlag: § 10 ExpertenratV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https://recht.nulegal.eu/gesetze/ExpertenratV/10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