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Europol-AbfrageV — Inkrafttreten, Außerkrafttreten</w:t>
      </w:r>
    </w:p>
    <w:p>
      <w:r>
        <w:rPr>
          <w:color w:val="555555"/>
          <w:sz w:val="18"/>
        </w:rPr>
        <w:t xml:space="preserve">Europol-Abfrageverordnung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tritt am Tag nach der Verkündung in Kraft.</w:t>
      </w:r>
    </w:p>
    <w:p>
      <w:r>
        <w:t xml:space="preserve">(2) Diese Verordnung tritt an dem Tag außer Kraft, an dem das Gesetz zu dem Protokoll vom 27. November 2003 zur Änderung des Europol-Übereinkommens und zur Änderung des Europol-Gesetzes außer Kraft tritt.</w:t>
      </w:r>
    </w:p>
    <w:p>
      <w:r>
        <w:t xml:space="preserve">(3) Der Tag des Außerkrafttretens ist im Bundesgesetzblatt bekannt zu geben.</w:t>
      </w:r>
    </w:p>
    <w:p>
      <w:r>
        <w:rPr>
          <w:color w:val="555555"/>
          <w:sz w:val="17"/>
        </w:rPr>
        <w:t xml:space="preserve">Zitiervorschlag: § 2 Europol-AbfrageV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https://recht.nulegal.eu/gesetze/Europol-AbfrageV/2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