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Europaratskonvention (Sachsen)</w:t>
      </w:r>
    </w:p>
    <w:p>
      <w:r>
        <w:rPr>
          <w:color w:val="555555"/>
          <w:sz w:val="18"/>
        </w:rPr>
        <w:t xml:space="preserve">Europäisches Übereinkommen über das grenzüberschreitende Fernsehen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27.08.2026 (konsolidierte Textfassung, kein amtliches Inkrafttretensdatum)</w:t>
      </w:r>
    </w:p>
    <w:p>
      <w:r>
        <w:t xml:space="preserve">[Übereinkommen]</w:t>
      </w:r>
    </w:p>
    <w:p>
      <w:r>
        <w:rPr>
          <w:color w:val="555555"/>
          <w:sz w:val="17"/>
        </w:rPr>
        <w:t xml:space="preserve">Zitiervorschlag: Eingangsformel Europaratskonvention (Sachsen)</w:t>
      </w:r>
    </w:p>
    <w:p>
      <w:r>
        <w:rPr>
          <w:color w:val="555555"/>
          <w:sz w:val="17"/>
        </w:rPr>
        <w:t xml:space="preserve">Quelle: revosax, abgerufen 27.08.2026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https://recht.nulegal.eu/gesetze/Europaratskonvention/eingangsformel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