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EurojustV</w:t>
      </w:r>
    </w:p>
    <w:p>
      <w:r>
        <w:rPr>
          <w:color w:val="555555"/>
          <w:sz w:val="18"/>
        </w:rPr>
        <w:t xml:space="preserve">Verordnung über die Rechtspersönlichkeit von Eurojust sowie die Vorrechte und Immunitäten der Bediensteten</w:t>
      </w:r>
    </w:p>
    <w:p>
      <w:r>
        <w:rPr>
          <w:color w:val="555555"/>
          <w:sz w:val="18"/>
        </w:rPr>
        <w:t xml:space="preserve">Historische Fassung: Stand 10.06.2019 bis 17.12.2019. Dies ist nicht die aktuelle Fassung.</w:t>
      </w:r>
    </w:p>
    <w:p>
      <w:r>
        <w:t xml:space="preserve">Auf Grund des Artikels 3 Nr. 1 Buchstabe b und Nr. 2 Buchstabe b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(BGBl. 1954 II S. 639), der durch Artikel 4 Abs. 1 des Gesetzes vom 16. August 1980 zu dem Übereinkommen vom 13. Februar 1946 über die Vorrechte und Immunitäten der Vereinten Nationen (BGBl. 1980 II S. 941) neu gefasst worden ist, verordnet die Bundesregierung:</w:t>
      </w:r>
    </w:p>
    <w:p>
      <w:r>
        <w:rPr>
          <w:color w:val="555555"/>
          <w:sz w:val="17"/>
        </w:rPr>
        <w:t xml:space="preserve">Zitiervorschlag: Eingangsformel EurojustV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https://recht.nulegal.eu/gesetze/EurojustV/eingangsformel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