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EurojustV — Vorrechte und Immunitäten der Bediensteten</w:t>
      </w:r>
    </w:p>
    <w:p>
      <w:r>
        <w:rPr>
          <w:color w:val="555555"/>
          <w:sz w:val="18"/>
        </w:rPr>
        <w:t xml:space="preserve">Verordnung über die Rechtspersönlichkeit von Eurojust sowie die Vorrechte und Immunitäten der Bediensteten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Der Verwaltungsdirektor und das Personal von Eurojust, die durch Artikel 29 und 30 des Beschlusses (2002/187/JI) des Rates bezeichnet sind, genießen Vorrechte und Befreiungen nach Kapitel V des Protokolls vom 8. April 1965 über die Vorrechte und Befreiungen der Europäischen Gemeinschaften (BGBl. 1965 II S. 1453, 1482), das zuletzt durch Artikel 6 des Vertrages von Nizza vom 26. Februar 2001 (BGBl. 2001 II S. 1666) geändert worden ist.</w:t>
      </w:r>
    </w:p>
    <w:p>
      <w:r>
        <w:rPr>
          <w:color w:val="555555"/>
          <w:sz w:val="17"/>
        </w:rPr>
        <w:t xml:space="preserve">Zitiervorschlag: § 2 EurojustV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https://recht.nulegal.eu/gesetze/EurojustV/2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