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EuWO 1988 — Behandlung der Wahlbriefe, Vorbereitung der Ermittlung und Feststellung des Briefwahlergebnisses</w:t>
      </w:r>
    </w:p>
    <w:p>
      <w:r>
        <w:rPr>
          <w:color w:val="555555"/>
          <w:sz w:val="18"/>
        </w:rPr>
        <w:t xml:space="preserve">Europawahlordnung</w:t>
      </w:r>
    </w:p>
    <w:p>
      <w:r>
        <w:rPr>
          <w:color w:val="555555"/>
          <w:sz w:val="18"/>
        </w:rPr>
        <w:t xml:space="preserve">Stand: 10.06.2019 (konsolidierte Textfassung, kein amtliches Inkrafttretensdatum)</w:t>
      </w:r>
    </w:p>
    <w:p>
      <w:r>
        <w:t xml:space="preserve">(1) Die für den Eingang der Wahlbriefe zuständige Stelle (§ 59 Abs. 2) sammelt die Wahlbriefe ungeöffnet und hält sie unter Verschluß. Sie vermerkt auf jedem am Wahltage nach Schluß der Wahlzeit eingegangenen Wahlbrief Tag und Uhrzeit des Eingangs, auf den vom nächsten Tag an eingehenden Wahlbriefen nur den Eingangstag.</w:t>
      </w:r>
    </w:p>
    <w:p>
      <w:r>
        <w:t xml:space="preserve">(2) (weggefallen)</w:t>
      </w:r>
    </w:p>
    <w:p>
      <w:r>
        <w:t xml:space="preserve">(3) Verspätet eingegangene Wahlbriefe werden von der zuständigen Stelle angenommen, mit den in Absatz 1 vorgeschriebenen Vermerken versehen und ungeöffnet verpackt. Das Paket wird von ihr versiegelt, mit Inhaltsangabe versehen und verwahrt, bis die Vernichtung der Wahlbriefe zugelassen ist (§ 83). Sie hat sicherzustellen, dass das Paket Unbefugten nicht zugänglich ist.</w:t>
      </w:r>
    </w:p>
    <w:p>
      <w:r>
        <w:t xml:space="preserve">(4) Die zuständige Stelle, in den Fällen der Bildung eines Briefwahlvorstandes für mehrere Gemeinden nach § 7 Nr. 3 die mit der Durchführung der Briefwahl betraute Gemeindebehörde, verteilt die Wahlbriefe auf die einzelnen Briefwahlvorstände, übergibt jedem Briefwahlvorstand das Verzeichnis über die für ungültig erklärten Wahlscheine sowie die Nachträge dazu oder die Mitteilung, dass keine Wahlscheine für ungültig erklärt worden sind (§ 27 Abs. 9), sorgt für die Bereitstellung und Ausstattung des Wahlraumes und stellt dem Briefwahlvorstand etwa notwendige Hilfskräfte zur Verfügung.</w:t>
      </w:r>
    </w:p>
    <w:p>
      <w:r>
        <w:t xml:space="preserve">(5) Ist für mehrere Gemeinden ein Briefwahlvorstand gebildet, haben die Gemeindebehörden der mit der Durchführung der Briefwahl betrauten Gemeindebehörde alle bis zum Tage vor der Wahl bei ihnen eingegangenen Wahlbriefe bis 12.00 Uhr am Wahltage zuzuleiten und alle anderen noch vor Schluß der Wahlzeit bei ihnen eingegangenen Wahlbriefe auf schnellstem Wege nach Schluß der Wahlzeit zuzuleiten.</w:t>
      </w:r>
    </w:p>
    <w:p>
      <w:r>
        <w:rPr>
          <w:color w:val="555555"/>
          <w:sz w:val="17"/>
        </w:rPr>
        <w:t xml:space="preserve">Zitiervorschlag: § 67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