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 EuWO 1988 — Bekanntgabe des Wahlergebnisses</w:t>
      </w:r>
    </w:p>
    <w:p>
      <w:r>
        <w:rPr>
          <w:color w:val="555555"/>
          <w:sz w:val="18"/>
        </w:rPr>
        <w:t xml:space="preserve">Europawahlordnung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Anschluß an die Feststellungen nach § 60 gibt der Wahlvorsteher das Wahlergebnis im Wahlbezirk mit den in dieser Vorschrift bezeichneten Angaben mündlich bekannt. Es darf vor Unterzeichnung der Wahlniederschrift (§ 65 Abs. 1 Satz 2) anderen als den in § 64 genannten Stellen durch die Mitglieder des Wahlvorstandes nicht mitgeteilt werden.</w:t>
      </w:r>
    </w:p>
    <w:p>
      <w:r>
        <w:rPr>
          <w:color w:val="555555"/>
          <w:sz w:val="17"/>
        </w:rPr>
        <w:t xml:space="preserve">Zitiervorschlag: § 63 EuWO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https://recht.nulegal.eu/gesetze/EuWO%201988/63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