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EuWO 1988 — Bekanntmachung der Wahlvorschläge</w:t>
      </w:r>
    </w:p>
    <w:p>
      <w:r>
        <w:rPr>
          <w:color w:val="555555"/>
          <w:sz w:val="18"/>
        </w:rPr>
        <w:t xml:space="preserve">Europawahlordnung</w:t>
      </w:r>
    </w:p>
    <w:p>
      <w:r>
        <w:rPr>
          <w:color w:val="555555"/>
          <w:sz w:val="18"/>
        </w:rPr>
        <w:t xml:space="preserve">Stand: 25.06.2023 (konsolidierte Textfassung, kein amtliches Inkrafttretensdatum)</w:t>
      </w:r>
    </w:p>
    <w:p>
      <w:r>
        <w:t xml:space="preserve">(1) Der Bundeswahlleiter macht die vom Bundeswahlausschuss zugelassenen Wahlvorschläge öffentlich bekannt und weist darauf hin, welche Listenverbindungen bestehen und welche Wahlvorschläge von einer Listenverbindung ausgeschlossen sind. Die Bekanntmachung enthält für jeden Wahlvorschlag die in § 32 Abs. 1 Satz 2 bezeichneten Angaben, wobei statt des Geburtsdatums nur das Geburtsjahr und statt der Anschrift nur der Wohnort (Ort der Hauptwohnung) der Bewerber und Ersatzbewerber anzugeben ist, sowie den Hinweis, für welches Land der Wahlvorschlag oder ob er als gemeinsame Liste für alle Länder aufgestellt ist. Weist ein Bewerber bis zum Ablauf der Einreichungsfrist gegenüber dem Bundeswahlleiter nach, dass für ihn im Melderegister ein Sperrvermerk gemäß § 51 Absatz 1 des Bundesmeldegesetzes eingetragen ist, ist an Stelle seines Wohnortes der Ort seiner Erreichbarkeitsanschrift zu verwenden; die Angabe eines Postfachs genügt nicht. Handelt es sich um einen Bewerber in einer Liste für ein Land, unterrichtet der Bundeswahlleiter unverzüglich den zuständigen Landeswahlleiter über die Erreichbarkeitsanschrift.</w:t>
      </w:r>
    </w:p>
    <w:p>
      <w:r>
        <w:t xml:space="preserve">(2) Der Landeswahlleiter ordnet die durch den Bundeswahlausschuss für das Land zugelassenen Wahlvorschläge in der durch § 15 Abs. 3 des Europawahlgesetzes bestimmten Reihenfolge unter fortlaufenden Nummern. Er macht die Reihenfolge der Wahlvorschläge öffentlich bekannt und teilt die Reihenfolge dem Bundeswahlleiter sofort mit.</w:t>
      </w:r>
    </w:p>
    <w:p>
      <w:r>
        <w:rPr>
          <w:color w:val="555555"/>
          <w:sz w:val="17"/>
        </w:rPr>
        <w:t xml:space="preserve">Zitiervorschlag: § 37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