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EuWG — Wahltag</w:t>
      </w:r>
    </w:p>
    <w:p>
      <w:r>
        <w:rPr>
          <w:color w:val="555555"/>
          <w:sz w:val="18"/>
        </w:rPr>
        <w:t xml:space="preserve">Europawahlgesetz</w:t>
      </w:r>
    </w:p>
    <w:p>
      <w:r>
        <w:rPr>
          <w:color w:val="555555"/>
          <w:sz w:val="18"/>
        </w:rPr>
        <w:t xml:space="preserve">Stand: 10.06.2019 (konsolidierte Textfassung, kein amtliches Inkrafttretensdatum)</w:t>
      </w:r>
    </w:p>
    <w:p>
      <w:r>
        <w:t xml:space="preserve">Die Bundesregierung bestimmt nach Maßgabe der Festsetzung des Wahlzeitpunktes durch den Rat der Europäischen Union und im Rahmen der in den Artikeln 10 und 11 des Aktes zur Einführung allgemeiner unmittelbarer Wahlen der Mitglieder des Europäischen Parlaments (BGBl. 1977 II S. 733), zuletzt geändert durch Beschluß des Rates der Europäischen Gemeinschaften vom 25. Juni 2002 und 23. September 2002 (BGBl. 2003 II S. 810), festgelegten Zeitspanne den Tag der Hauptwahl (Wahltag). Der Wahltag ist im Bundesgesetzblatt bekanntzugeben.</w:t>
      </w:r>
    </w:p>
    <w:p>
      <w:r>
        <w:rPr>
          <w:color w:val="555555"/>
          <w:sz w:val="17"/>
        </w:rPr>
        <w:t xml:space="preserve">Zitiervorschlag: § 7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