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EuWG — Geltung des Bundeswahlgesetzes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diesem Gesetz nichts anderes bestimmt ist, gelten für die Wahl der Abgeordneten die Vorschriften der Abschnitte zwei bis sieben des Bundeswahlgesetzes über</w:t>
      </w:r>
    </w:p>
    <w:p>
      <w:pPr>
        <w:ind w:left="420"/>
      </w:pPr>
      <w:r>
        <w:t xml:space="preserve">die Wahlorgane, das Wahlrecht, die Vorbereitung der Wahl, die Wahlhandlung, die Feststellung des Wahlergebnisses und die Nach- und Wiederholungswahlen sowie die Vorschriften des § 49a des Bundeswahlgesetzes über Ordnungswidrigkeiten und die Vorschrift des § 54 des Bundeswahlgesetzes über Fristen und Termine in der jeweils geltenden Fassung entsprechend.</w:t>
      </w:r>
    </w:p>
    <w:p>
      <w:r>
        <w:rPr>
          <w:color w:val="555555"/>
          <w:sz w:val="17"/>
        </w:rPr>
        <w:t xml:space="preserve">Zitiervorschlag: § 4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