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EuWG — Übergangsregelung</w:t>
      </w:r>
    </w:p>
    <w:p>
      <w:r>
        <w:rPr>
          <w:color w:val="555555"/>
          <w:sz w:val="18"/>
        </w:rPr>
        <w:t xml:space="preserve">Europawahlgesetz</w:t>
      </w:r>
    </w:p>
    <w:p>
      <w:r>
        <w:rPr>
          <w:color w:val="555555"/>
          <w:sz w:val="18"/>
        </w:rPr>
        <w:t xml:space="preserve">Stand: 10.07.2019 (konsolidierte Textfassung, kein amtliches Inkrafttretensdatum)</w:t>
      </w:r>
    </w:p>
    <w:p>
      <w:r>
        <w:t xml:space="preserve">Ausschlüsse vom Wahlrecht und Ausschlüsse von der Wählbarkeit, die nicht auf einem Richterspruch im Sinne von § 6a Absatz 1 in der ab dem 1. Juli 2019 geltenden Fassung oder § 6a Absatz 2 Nummer 1 in der ab dem 1. Juli 2019 geltenden Fassung oder auf § 6a Absatz 2 Nummer 2 oder § 6b Absatz 3 Nummer 2 oder § 6b Absatz 4 Nummer 3 oder Nummer 4 beruhen, sind nicht nach § 3 Absatz 2Nummer 1a des Bundesmeldegesetzes im Melderegister zu speichern.</w:t>
      </w:r>
    </w:p>
    <w:p>
      <w:r>
        <w:rPr>
          <w:color w:val="555555"/>
          <w:sz w:val="17"/>
        </w:rPr>
        <w:t xml:space="preserve">Zitiervorschlag: § 29 EuWG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