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EuWG — Feststellung des Wahlergebnisses</w:t>
      </w:r>
    </w:p>
    <w:p>
      <w:r>
        <w:rPr>
          <w:color w:val="555555"/>
          <w:sz w:val="18"/>
        </w:rPr>
        <w:t xml:space="preserve">Europawahlgesetz</w:t>
      </w:r>
    </w:p>
    <w:p>
      <w:r>
        <w:rPr>
          <w:color w:val="555555"/>
          <w:sz w:val="18"/>
        </w:rPr>
        <w:t xml:space="preserve">Stand: 10.06.2019 (konsolidierte Textfassung, kein amtliches Inkrafttretensdatum)</w:t>
      </w:r>
    </w:p>
    <w:p>
      <w:r>
        <w:t xml:space="preserve">(1) Nach Beendigung der Wahlhandlung stellt der Wahlvorstand fest, wieviel Stimmen im Wahlbezirk auf die einzelnen Wahlvorschläge abgegeben worden sind. Der für die Briefwahl eingesetzte Wahlvorstand stellt fest, wieviel durch Briefwahl abgegebene Stimmen auf die einzelnen Wahlvorschläge entfallen.</w:t>
      </w:r>
    </w:p>
    <w:p>
      <w:r>
        <w:t xml:space="preserve">(2) Die Kreiswahl- und Stadtwahlausschüsse stellen fest, wieviel Stimmen in den Kreisen und kreisfreien Städten für die einzelnen Wahlvorschläge abgegeben worden sind. Sie haben das Recht der Nachprüfung der Feststellungen der Wahlvorstände.</w:t>
      </w:r>
    </w:p>
    <w:p>
      <w:r>
        <w:t xml:space="preserve">(3) Die Landeswahlausschüsse stellen fest, wieviel Stimmen in den Ländern für die einzelnen Wahlvorschläge abgegeben worden sind.</w:t>
      </w:r>
    </w:p>
    <w:p>
      <w:r>
        <w:t xml:space="preserve">(4) Der Bundeswahlausschuß stellt fest, wieviel Stimmen für die einzelnen Wahlvorschläge insgesamt abgegeben worden sind, wieviel Sitze auf die einzelnen Wahlvorschläge entfallen und welche Bewerber gewählt sind.</w:t>
      </w:r>
    </w:p>
    <w:p>
      <w:r>
        <w:rPr>
          <w:color w:val="555555"/>
          <w:sz w:val="17"/>
        </w:rPr>
        <w:t xml:space="preserve">Zitiervorschlag: § 18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