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EuWG — Beseitigung von Mängeln</w:t>
      </w:r>
    </w:p>
    <w:p>
      <w:r>
        <w:rPr>
          <w:color w:val="555555"/>
          <w:sz w:val="18"/>
        </w:rPr>
        <w:t xml:space="preserve">Europawahlgesetz</w:t>
      </w:r>
    </w:p>
    <w:p>
      <w:r>
        <w:rPr>
          <w:color w:val="555555"/>
          <w:sz w:val="18"/>
        </w:rPr>
        <w:t xml:space="preserve">Stand: 10.06.2019 (konsolidierte Textfassung, kein amtliches Inkrafttretensdatum)</w:t>
      </w:r>
    </w:p>
    <w:p>
      <w:r>
        <w:t xml:space="preserve">(1) Der Bundeswahlleiter hat die Wahlvorschläge unverzüglich nach Eingang zu prüfen. Stellt er bei einem Wahlvorschlag Mängel fest, so benachrichtigt er sofort die Vertrauensperson des Wahlvorschlages und fordert sie auf, behebbare Mängel rechtzeitig zu beseitigen.</w:t>
      </w:r>
    </w:p>
    <w:p>
      <w:r>
        <w:t xml:space="preserve">(2) Nach Ablauf der Einreichungsfrist können nur noch Mängel an sich gültiger Wahlvorschläge behoben werden. Ein gültiger Wahlvorschlag liegt nicht vor, wenn</w:t>
      </w:r>
    </w:p>
    <w:p>
      <w:pPr>
        <w:ind w:left="420"/>
      </w:pPr>
      <w:r>
        <w:t xml:space="preserve">1. die Bezeichnung des Wahlvorschlagsberechtigten nach § 9 Abs. 1 fehlt,</w:t>
      </w:r>
    </w:p>
    <w:p>
      <w:pPr>
        <w:ind w:left="420"/>
      </w:pPr>
      <w:r>
        <w:t xml:space="preserve">2. die nach § 9 Abs. 4 und 5 erforderlichen gültigen Unterschriften mit dem Nachweis der Wahlberechtigung der Unterzeichner nach Absatz 5 dieser Vorschrift fehlen, es sei denn, der Nachweis kann infolge von Umständen, die der Wahlvorschlagsberechtigte nicht zu vertreten hat, nicht rechtzeitig vorgelegt werden,</w:t>
      </w:r>
    </w:p>
    <w:p>
      <w:pPr>
        <w:ind w:left="420"/>
      </w:pPr>
      <w:r>
        <w:t xml:space="preserve">3. die nach § 11 Abs. 1 erforderliche Form oder Frist nicht gewahrt ist,</w:t>
      </w:r>
    </w:p>
    <w:p>
      <w:pPr>
        <w:ind w:left="420"/>
      </w:pPr>
      <w:r>
        <w:t xml:space="preserve">4. die nach § 11 Abs. 2 Nr. 1, 1a, 1b, 1c, 2 und 4 erforderlichen Niederschriften, Versicherungen oder Unterlagen nicht vorgelegt oder abgegeben sind.</w:t>
      </w:r>
    </w:p>
    <w:p>
      <w:r>
        <w:t xml:space="preserve">(3) Nach der Entscheidung über die Zulassung eines Wahlvorschlages (§ 14) ist jede Mängelbeseitigung ausgeschlossen.</w:t>
      </w:r>
    </w:p>
    <w:p>
      <w:r>
        <w:t xml:space="preserve">(4) Gegen Verfügungen des Bundeswahlleiters im Mängelbeseitigungsverfahren kann die Vertrauensperson des Wahlvorschlages den Bundeswahlausschuss anrufen.</w:t>
      </w:r>
    </w:p>
    <w:p>
      <w:r>
        <w:rPr>
          <w:color w:val="555555"/>
          <w:sz w:val="17"/>
        </w:rPr>
        <w:t xml:space="preserve">Zitiervorschlag: § 13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