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EuVwZV (Nordrhein-Westfalen) — Verfahren im Rahmen des Vorwarnmechanismus</w:t>
      </w:r>
    </w:p>
    <w:p>
      <w:r>
        <w:rPr>
          <w:color w:val="555555"/>
          <w:sz w:val="18"/>
        </w:rPr>
        <w:t xml:space="preserve">Europäische Verwaltungszusammenarbeitsverordnung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Unterrichtung im Sinne von Artikel 29 Absatz 3 und Artikel 32 Absatz 1 der Richtlinie 2006/123/EG ist unverzüglich über die fachlich unmittelbar übergeordnete Behörde an den Koordinator im Rahmen des Vorwarnmechanismus (Vorwarnkoordinator) zu leiten.</w:t>
      </w:r>
    </w:p>
    <w:p>
      <w:r>
        <w:rPr>
          <w:color w:val="555555"/>
          <w:sz w:val="17"/>
        </w:rPr>
        <w:t xml:space="preserve">Zitiervorschlag: § 1 EuVwZV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https://recht.nulegal.eu/gesetze/EuVwZV/1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EuVwZV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