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EuSchulAuslVorRV</w:t>
      </w:r>
    </w:p>
    <w:p>
      <w:r>
        <w:rPr>
          <w:color w:val="555555"/>
          <w:sz w:val="18"/>
        </w:rPr>
        <w:t xml:space="preserve">Verordnung über die Gewährung von Vorrechten und Befreiungen an die Direktoren und Lehrer bei den Europäischen Schulen im Ausland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1995 in Kraft.</w:t>
      </w:r>
    </w:p>
    <w:p>
      <w:r>
        <w:rPr>
          <w:color w:val="555555"/>
          <w:sz w:val="17"/>
        </w:rPr>
        <w:t xml:space="preserve">Zitiervorschlag: § 2 EuSchulAuslVorRV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https://recht.nulegal.eu/gesetze/EuSchulAuslVorRV/2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EuSchulAuslVorRV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