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EuRHiÜbkVtrFRAG</w:t>
      </w:r>
    </w:p>
    <w:p>
      <w:r>
        <w:rPr>
          <w:color w:val="555555"/>
          <w:sz w:val="18"/>
        </w:rPr>
        <w:t xml:space="preserve">Gesetz zu dem Vertrag vom 24. Oktober 1974 zwischen der Bundesrepublik Deutschland und der Französischen Republik zu dem Europäischen Übereinkommen vom 20. April 1959 über die Rechtshilfe in Strafsachen</w:t>
      </w:r>
    </w:p>
    <w:p>
      <w:r>
        <w:rPr>
          <w:color w:val="555555"/>
          <w:sz w:val="18"/>
        </w:rPr>
        <w:t xml:space="preserve">Stand: 10.06.2019 (konsolidierte Textfassung, kein amtliches Inkrafttretensdatum)</w:t>
      </w:r>
    </w:p>
    <w:p>
      <w:r>
        <w:t xml:space="preserve">Rechtshilfeersuchen französischer Behörden, denen eine Zuwiderhandlung zugrunde liegt, die nach deutschem Recht eine Ordnungswidrigkeit wäre, werden so behandelt, als ob ihnen nach deutschem Recht eine mit Strafe bedrohte Handlung zugrunde läge. Die Bewilligungsbehörde kann der Verwaltungsbehörde, die für die Verfolgung der Zuwiderhandlung zuständig wäre, die Vornahme der Rechtshilfehandlung übertragen.</w:t>
      </w:r>
    </w:p>
    <w:p>
      <w:r>
        <w:rPr>
          <w:color w:val="555555"/>
          <w:sz w:val="17"/>
        </w:rPr>
        <w:t xml:space="preserve">Zitiervorschlag: Art 4 EuRHiÜbkVtrFRAG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https://recht.nulegal.eu/gesetze/EuRHi%C3%9CbkVtrFRAG/4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