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EuRAG — Mitteilungspflichten, rechtliches Gehör</w:t>
      </w:r>
    </w:p>
    <w:p>
      <w:r>
        <w:rPr>
          <w:color w:val="555555"/>
          <w:sz w:val="18"/>
        </w:rPr>
        <w:t xml:space="preserve">Gesetz über die Tätigkeit europäischer Rechtsanwälte in Deutschland</w:t>
      </w:r>
    </w:p>
    <w:p>
      <w:r>
        <w:rPr>
          <w:color w:val="555555"/>
          <w:sz w:val="18"/>
        </w:rPr>
        <w:t xml:space="preserve">Stand: 01.08.2022 (konsolidierte Textfassung, kein amtliches Inkrafttretensdatum)</w:t>
      </w:r>
    </w:p>
    <w:p>
      <w:r>
        <w:t xml:space="preserve">(1) Für Zwecke der Prüfung, ob berufsrechtliche Maßnahmen zu ergreifen sind, teilt die ermittelnde Staatsanwaltschaft nach Abschluss der Ermittlungen und vor Einreichung der Anschuldigungsschrift bei dem Anwaltsgericht der zuständigen Stelle des Herkunftsstaates die ermittelten Tatsachen mit, soweit dies aus ihrer Sicht zur Durchführung solcher Maßnahmen erforderlich ist. Die Mitteilung wird durch unmittelbare Übersendung einer Abschrift der Anschuldigungsschrift an die zuständige Stelle des Herkunftsstaates bewirkt.</w:t>
      </w:r>
    </w:p>
    <w:p>
      <w:r>
        <w:t xml:space="preserve">(2) Für Zwecke der Prüfung, ob berufsrechtliche Maßnahmen zu ergreifen sind, sind in anwaltsgerichtlichen Verfahren der zuständigen Stelle des Herkunftsstaates mitzuteilen:</w:t>
      </w:r>
    </w:p>
    <w:p>
      <w:pPr>
        <w:ind w:left="420"/>
      </w:pPr>
      <w:r>
        <w:t xml:space="preserve">1. die Entscheidung über die Eröffnung des Hauptverfahrens,</w:t>
      </w:r>
    </w:p>
    <w:p>
      <w:pPr>
        <w:ind w:left="420"/>
      </w:pPr>
      <w:r>
        <w:t xml:space="preserve">2. die Urteile,</w:t>
      </w:r>
    </w:p>
    <w:p>
      <w:pPr>
        <w:ind w:left="420"/>
      </w:pPr>
      <w:r>
        <w:t xml:space="preserve">3. die Verhängung vorläufiger anwaltsgerichtlicher Maßnahmen, deren Außerkrafttreten und deren Aufhebung,</w:t>
      </w:r>
    </w:p>
    <w:p>
      <w:pPr>
        <w:ind w:left="420"/>
      </w:pPr>
      <w:r>
        <w:t xml:space="preserve">4. die Verteidigungsschriften,</w:t>
      </w:r>
    </w:p>
    <w:p>
      <w:pPr>
        <w:ind w:left="420"/>
      </w:pPr>
      <w:r>
        <w:t xml:space="preserve">5. die Berufungsschriften,</w:t>
      </w:r>
    </w:p>
    <w:p>
      <w:pPr>
        <w:ind w:left="420"/>
      </w:pPr>
      <w:r>
        <w:t xml:space="preserve">6. die Revisionsschriften,</w:t>
      </w:r>
    </w:p>
    <w:p>
      <w:pPr>
        <w:ind w:left="420"/>
      </w:pPr>
      <w:r>
        <w:t xml:space="preserve">7. die Beschwerdeschriften.</w:t>
      </w:r>
    </w:p>
    <w:p>
      <w:r>
        <w:t xml:space="preserve">Mitteilungspflichtig ist das Gericht, das die mitzuteilende Entscheidung gefällt hat oder bei dem der mitzuteilende Schriftsatz eingereicht worden ist. Die Mitteilung wird durch unmittelbare Übersendung einer Abschrift der mitzuteilenden Entscheidung an die zuständige Stelle des Herkunftsstaates bewirkt.</w:t>
      </w:r>
    </w:p>
    <w:p>
      <w:r>
        <w:t xml:space="preserve">(3) Sind personenbezogene Daten, die nach Absatz 1 oder Absatz 2 übermittelt werden dürfen, mit weiteren personenbezogenen Daten des Betroffenen oder eines Dritten so verbunden, dass sie nicht oder nur mit unvertretbarem Aufwand getrennt werden können, ist auch die Übermittlung dieser Daten zulässig, soweit nicht berechtigte Interessen des Betroffenen oder des Dritten an deren Geheimhaltung offensichtlich überwiegen. Eine Verwendung dieser Daten ist unzulässig. Der Empfänger ist darauf hinzuweisen, dass eine Verwendung der Daten des Dritten unzulässig ist und die Daten des Betroffenen nur zu dem Zweck verwendet werden dürfen, der in den Absätzen 1 und 2 genannt ist.</w:t>
      </w:r>
    </w:p>
    <w:p>
      <w:r>
        <w:t xml:space="preserve">(4) In anwaltsgerichtlichen Verfahren hat das Gericht der zuständigen Stelle des Herkunftsstaates Gelegenheit zur Äußerung zu geben.</w:t>
      </w:r>
    </w:p>
    <w:p>
      <w:r>
        <w:rPr>
          <w:color w:val="555555"/>
          <w:sz w:val="17"/>
        </w:rPr>
        <w:t xml:space="preserve">Zitiervorschlag: § 9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