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EuRAG — Berufshaftpflichtversicherung</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Von der Verpflichtung, eine Berufshaftpflichtversicherung nach § 51 der Bundesrechtsanwaltsordnung zu unterhalten, ist der niedergelassene europäische Rechtsanwalt befreit, wenn er der Rechtsanwaltskammer eine nach den Vorschriften des Herkunftsstaates geschlossene Versicherung oder Garantie nachweist, die hinsichtlich der Bedingungen und des Deckungsumfangs einer Versicherung gemäß § 51 der Bundesrechtsanwaltsordnung gleichwertig ist. Bei fehlender Gleichwertigkeit ist durch eine Zusatzversicherung oder ergänzende Garantie ein Schutz zu schaffen, der den Anforderungen des § 51 der Bundesrechtsanwaltsordnung gleichkommt.</w:t>
      </w:r>
    </w:p>
    <w:p>
      <w:r>
        <w:t xml:space="preserve">(2) Der niedergelassene europäische Rechtsanwalt hat im Fall des Absatzes 1 der Rechtsanwaltskammer jährlich eine Bescheinigung des Versicherers vorzulegen, aus der sich die Versicherungsbedingungen und der Deckungsumfang ergeben. Darüber hinaus hat er die Beendigung oder Kündigung des Versicherungsvertrages sowie jede Änderung des Versicherungsvertrages, die den nach § 51 der Bundesrechtsanwaltsordnung vorgeschriebenen Versicherungsschutz beeinträchtigt, der Rechtsanwaltskammer unverzüglich mitzuteilen. Kommt er den Pflichten gemäß Satz 1 oder Satz 2 nicht nach, so kann die Aufnahme in die Rechtsanwaltskammer widerrufen werden. § 14 Abs. 2 Nr. 9 der Bundesrechtsanwaltsordnung bleibt unberührt.</w:t>
      </w:r>
    </w:p>
    <w:p>
      <w:r>
        <w:t xml:space="preserve">(3) Die Absätze 1 und 2 gelten für Rechtsanwälte, die nach Teil 3 oder 4 dieses Gesetzes in Verbindung mit § 4 Satz 1 Nummer 2 oder 3 der Bundesrechtsanwaltsordnung zugelassen sind, entsprechend.</w:t>
      </w:r>
    </w:p>
    <w:p>
      <w:r>
        <w:rPr>
          <w:color w:val="555555"/>
          <w:sz w:val="17"/>
        </w:rPr>
        <w:t xml:space="preserve">Zitiervorschlag: § 7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