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EuRAG — Anwendung von Vorschriften des Strafgesetzbuches</w:t>
      </w:r>
    </w:p>
    <w:p>
      <w:r>
        <w:rPr>
          <w:color w:val="555555"/>
          <w:sz w:val="18"/>
        </w:rPr>
        <w:t xml:space="preserve">Gesetz über die Tätigkeit europäischer Rechtsanwälte in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Anwendung der Vorschriften des Strafgesetzbuches über die Straflosigkeit der Nichtanzeige geplanter Straftaten (§ 139 Abs. 3 Satz 2), Verletzung von Privatgeheimnissen (§ 203 Absatz 1 Nummer 3, Absatz 3 bis 6, §§ 204, 205), Gebührenüberhebung (§ 352) und Parteiverrat (§ 356) stehen europäische Rechtsanwälte den Rechtsanwälten und Anwälten gleich.</w:t>
      </w:r>
    </w:p>
    <w:p>
      <w:r>
        <w:t xml:space="preserve">(2) Zum Schutz der in der Anlage zu § 1 genannten Berufsbezeichnungen ist die Vorschrift des § 132a Abs. 1 Nr. 2, Abs. 2 des Strafgesetzbuches über den Schutz der Berufsbezeichnung Rechtsanwalt entsprechend anzuwenden.</w:t>
      </w:r>
    </w:p>
    <w:p>
      <w:r>
        <w:rPr>
          <w:color w:val="555555"/>
          <w:sz w:val="17"/>
        </w:rPr>
        <w:t xml:space="preserve">Zitiervorschlag: § 42 EuRAG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https://recht.nulegal.eu/gesetze/EuRAG/42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