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EuRAG — Ermächtigungen</w:t>
      </w:r>
    </w:p>
    <w:p>
      <w:r>
        <w:rPr>
          <w:color w:val="555555"/>
          <w:sz w:val="18"/>
        </w:rPr>
        <w:t xml:space="preserve">Gesetz über die Tätigkeit europäischer Rechtsanwälte in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Bundesministerium der Justiz und für Verbraucherschutz wird ermächtigt, durch Rechtsverordnung, die nicht der Zustimmung des Bundesrates bedarf, die Anlage zu § 1 anzupassen, wenn sich der Kreis oder die Bezeichnungen der aufgeführten Berufe oder der Kreis der Mitgliedstaaten der Europäischen Union oder der Vertragsstaaten des Abkommens über den Europäischen Wirtschaftsraum ändern.</w:t>
      </w:r>
    </w:p>
    <w:p>
      <w:r>
        <w:t xml:space="preserve">(2) Das Bundesministerium der Justiz und für Verbraucherschutz wird ermächtigt, durch Rechtsverordnung mit Zustimmung des Bundesrates die Einzelheiten der Eignungsprüfung zu regeln, insbesondere</w:t>
      </w:r>
    </w:p>
    <w:p>
      <w:pPr>
        <w:ind w:left="420"/>
      </w:pPr>
      <w:r>
        <w:t xml:space="preserve">1. die Bereiche des Pflichtfaches und der Wahlfächer,</w:t>
      </w:r>
    </w:p>
    <w:p>
      <w:pPr>
        <w:ind w:left="420"/>
      </w:pPr>
      <w:r>
        <w:t xml:space="preserve">2. die prüfenden Personen,</w:t>
      </w:r>
    </w:p>
    <w:p>
      <w:pPr>
        <w:ind w:left="420"/>
      </w:pPr>
      <w:r>
        <w:t xml:space="preserve">3. den Ablauf des Prüfungsverfahrens,</w:t>
      </w:r>
    </w:p>
    <w:p>
      <w:pPr>
        <w:ind w:left="420"/>
      </w:pPr>
      <w:r>
        <w:t xml:space="preserve">4. die Prüfungsleistungen,</w:t>
      </w:r>
    </w:p>
    <w:p>
      <w:pPr>
        <w:ind w:left="420"/>
      </w:pPr>
      <w:r>
        <w:t xml:space="preserve">5. die Folgen eines ordnungswidrigen Verhaltens,</w:t>
      </w:r>
    </w:p>
    <w:p>
      <w:pPr>
        <w:ind w:left="420"/>
      </w:pPr>
      <w:r>
        <w:t xml:space="preserve">6. den Erlass von Prüfungsleistungen,</w:t>
      </w:r>
    </w:p>
    <w:p>
      <w:pPr>
        <w:ind w:left="420"/>
      </w:pPr>
      <w:r>
        <w:t xml:space="preserve">7. die Wiederholung der Prüfung und die Zahl der Wiederholungsmöglichkeiten,</w:t>
      </w:r>
    </w:p>
    <w:p>
      <w:pPr>
        <w:ind w:left="420"/>
      </w:pPr>
      <w:r>
        <w:t xml:space="preserve">8. die Erhebung einer Gebühr.</w:t>
      </w:r>
    </w:p>
    <w:p>
      <w:r>
        <w:rPr>
          <w:color w:val="555555"/>
          <w:sz w:val="17"/>
        </w:rPr>
        <w:t xml:space="preserve">Zitiervorschlag: § 40 EuRAG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https://recht.nulegal.eu/gesetze/EuRAG/40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