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38a EuRAG — Statistik</w:t>
      </w:r>
    </w:p>
    <w:p>
      <w:r>
        <w:rPr>
          <w:color w:val="555555"/>
          <w:sz w:val="18"/>
        </w:rPr>
        <w:t xml:space="preserve">Gesetz über die Tätigkeit europäischer Rechtsanwälte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Verfahren nach Teil 4 dieses Gesetzes wird eine Bundesstatistik durchgeführt. § 17 des Berufsqualifikationsfeststellungsgesetzes mit Ausnahme von Absatz 2 Nummer 4 ist anzuwenden.</w:t>
      </w:r>
    </w:p>
    <w:p>
      <w:r>
        <w:rPr>
          <w:color w:val="555555"/>
          <w:sz w:val="17"/>
        </w:rPr>
        <w:t xml:space="preserve">Zitiervorschlag: § 38a EuRAG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https://recht.nulegal.eu/gesetze/EuRAG/38a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