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EuRAG — Mitteilungspflichten gegenüber anderen Staaten</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Ist ein Rechtsanwalt auch in einem anderen Mitgliedstaat der Europäischen Union, einem anderen Vertragsstaat des Europäischen Wirtschaftsraums oder der Schweiz tätig, so teilt die Rechtsanwaltskammer der zuständigen Stelle des anderen Staates über das Binnenmarkt-Informationssystem der Europäischen Union Folgendes mit:</w:t>
      </w:r>
    </w:p>
    <w:p>
      <w:pPr>
        <w:ind w:left="420"/>
      </w:pPr>
      <w:r>
        <w:t xml:space="preserve">1. berufsrechtliche Sanktionen,</w:t>
      </w:r>
    </w:p>
    <w:p>
      <w:pPr>
        <w:ind w:left="420"/>
      </w:pPr>
      <w:r>
        <w:t xml:space="preserve">2. strafrechtliche oder in Ordnungswidrigkeitenverfahren verhängte Sanktionen, die sich auf die Ausübung der anwaltlichen Tätigkeit auswirken können, und</w:t>
      </w:r>
    </w:p>
    <w:p>
      <w:pPr>
        <w:ind w:left="420"/>
      </w:pPr>
      <w:r>
        <w:t xml:space="preserve">3. sonstige schwerwiegende Sachverhalte, die sich auf die Ausübung der anwaltlichen Tätigkeit auswirken können.</w:t>
      </w:r>
    </w:p>
    <w:p>
      <w:r>
        <w:t xml:space="preserve">Satz 1 gilt auch für niedergelassene europäische Rechtsanwälte, sofern die Mitteilung nicht schon nach § 9 erfolgt ist. Ist der Rechtsanwaltskammer nach § 112h der Bundesrechtsanwaltsordnung eine Entscheidung übermittelt worden, hat sie den anderen Mitgliedstaaten der Europäischen Union, den anderen Vertragsstaaten des Europäischen Wirtschaftsraums und der Schweiz binnen drei Tagen nach Rechtskraft der Entscheidung über das Binnenmarkt-Informationssystem der Europäischen Union die Angaben zur Identität des Rechtsanwalts und die Tatsache, dass er einen gefälschten Berufsqualifikationsnachweis verwendet hat, mitzuteilen.</w:t>
      </w:r>
    </w:p>
    <w:p>
      <w:r>
        <w:t xml:space="preserve">(2) Unverzüglich nach einer Mitteilung nach Absatz 1 hat eine Mitteilung nach § 8d Absatz 2 des Verwaltungsverfahrensgesetzes zu erfolgen. In ihr ist auf die zulässigen Rechtsbehelfe gegen die Entscheidung, die Mitteilung nach Absatz 1 zu veranlassen, hinzuweisen. Wird ein Rechtsbehelf gegen die Entscheidung eingelegt, ergänzt die Rechtsanwaltskammer die Mitteilung nach Absatz 1 um einen entsprechenden Hinweis.</w:t>
      </w:r>
    </w:p>
    <w:p>
      <w:r>
        <w:t xml:space="preserve">(3) Die Vorschriften des § 9 sind entsprechend anzuwenden auf Rechtsanwälte, die in Deutschland zugelassen und in einem der anderen in Absatz 1 Satz 1 genannten Staaten unter ihrer ursprünglichen Berufsbezeichnung niedergelassen sind. Absatz 1 Satz 1 gilt in diesem Fall nur insoweit, als die Mitteilung nicht schon nach Satz 1 erfolgt.</w:t>
      </w:r>
    </w:p>
    <w:p>
      <w:r>
        <w:t xml:space="preserve">(4) Absatz 1 Satz 1 gilt für dienstleistende europäische Rechtsanwälte entsprechend.</w:t>
      </w:r>
    </w:p>
    <w:p>
      <w:r>
        <w:t xml:space="preserve">(5) Hat die zuständige Stelle eines der anderen in Absatz 1 Satz 1 genannten Staaten der Rechtsanwaltskammer zu einem Rechtsanwalt Sanktionen oder Sachverhalte im Sinne des Absatzes 1 Satz 1 mitgeteilt, so unterrichtet die Rechtsanwaltskammer diese Stelle über die auf Grund der Mitteilung getroffenen Maßnahmen.</w:t>
      </w:r>
    </w:p>
    <w:p>
      <w:r>
        <w:rPr>
          <w:color w:val="555555"/>
          <w:sz w:val="17"/>
        </w:rPr>
        <w:t xml:space="preserve">Zitiervorschlag: § 38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