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EuRAG — Bescheinigungen des Heimat- oder Herkunftsstaates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für eine Entscheidung über die Aufnahme in die Rechtsanwaltskammer nach Teil 2 oder über die Zulassung zur Rechtsanwaltschaft nach den Teilen 3 oder 4 dieses Gesetzes</w:t>
      </w:r>
    </w:p>
    <w:p>
      <w:pPr>
        <w:ind w:left="420"/>
      </w:pPr>
      <w:r>
        <w:t xml:space="preserve">1. Bescheinigungen darüber, dass keine schwerwiegenden beruflichen Verfehlungen, Straftaten oder sonstigen Umstände bekannt sind, die die Eignung der Person für den Beruf des Rechtsanwalts in Frage stellen,</w:t>
      </w:r>
    </w:p>
    <w:p>
      <w:pPr>
        <w:ind w:left="420"/>
      </w:pPr>
      <w:r>
        <w:t xml:space="preserve">2. Bescheinigungen darüber, dass über das Vermögen der Person kein Insolvenzverfahren anhängig ist und die Person nicht für insolvent erklärt wurde,</w:t>
      </w:r>
    </w:p>
    <w:p>
      <w:pPr>
        <w:ind w:left="420"/>
      </w:pPr>
      <w:r>
        <w:t xml:space="preserve">3. Bescheinigungen über die körperliche oder geistige Gesundheit der Person oder</w:t>
      </w:r>
    </w:p>
    <w:p>
      <w:pPr>
        <w:ind w:left="420"/>
      </w:pPr>
      <w:r>
        <w:t xml:space="preserve">4. Bescheinigungen über das Bestehen und den Umfang einer Haftpflichtversicherung</w:t>
      </w:r>
    </w:p>
    <w:p>
      <w:r>
        <w:t xml:space="preserve">erforderlich sind, genügen Bescheinigungen des Heimat- oder Herkunftsstaates, die den Anforderungen des Artikels 50 Absatz 1 in Verbindung mit Anhang VII Nummer 1 Buchstabe d bis f der Richtlinie 2005/36/EG entsprechen.</w:t>
      </w:r>
    </w:p>
    <w:p>
      <w:r>
        <w:rPr>
          <w:color w:val="555555"/>
          <w:sz w:val="17"/>
        </w:rPr>
        <w:t xml:space="preserve">Zitiervorschlag: § 36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