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EuRAG — Mitteilungspflichten</w:t>
      </w:r>
    </w:p>
    <w:p>
      <w:r>
        <w:rPr>
          <w:color w:val="555555"/>
          <w:sz w:val="18"/>
        </w:rPr>
        <w:t xml:space="preserve">Gesetz über die Tätigkeit europäischer Rechtsanwälte in Deutschland</w:t>
      </w:r>
    </w:p>
    <w:p>
      <w:r>
        <w:rPr>
          <w:color w:val="555555"/>
          <w:sz w:val="18"/>
        </w:rPr>
        <w:t xml:space="preserve">Stand: 01.08.2022 (konsolidierte Textfassung, kein amtliches Inkrafttretensdatum)</w:t>
      </w:r>
    </w:p>
    <w:p>
      <w:r>
        <w:t xml:space="preserve">Gerichte und Behörden übermitteln personenbezogene Daten, die zur Einleitung eines Rügeverfahrens oder eines anwaltsgerichtlichen Verfahrens aus der Sicht der übermittelnden Stelle erforderlich sind, den für die Einleitung dieser Verfahren zuständigen Stellen, soweit hierdurch schutzwürdige Interessen des Betroffenen nicht beeinträchtigt werden oder das öffentliche Interesse das Geheimhaltungsinteresse des Betroffenen überwiegt. § 36 Absatz 3 der Bundesrechtsanwaltsordnung gilt entsprechend.</w:t>
      </w:r>
    </w:p>
    <w:p>
      <w:r>
        <w:rPr>
          <w:color w:val="555555"/>
          <w:sz w:val="17"/>
        </w:rPr>
        <w:t xml:space="preserve">Zitiervorschlag: § 34a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