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EuRAG — Aufsicht, zuständige Rechtsanwaltskammer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29.10.2024 (konsolidierte Textfassung, kein amtliches Inkrafttretensdatum)</w:t>
      </w:r>
    </w:p>
    <w:p>
      <w:r>
        <w:t xml:space="preserve">(1) Dienstleistende europäische Rechtsanwälte werden durch die zuständigen Rechtsanwaltskammern beaufsichtigt. Dem Vorstand der Rechtsanwaltskammer obliegt es insbesondere,</w:t>
      </w:r>
    </w:p>
    <w:p>
      <w:pPr>
        <w:ind w:left="420"/>
      </w:pPr>
      <w:r>
        <w:t xml:space="preserve">1. in Fragen der Berufspflichten eines Rechtsanwalts zu beraten und zu belehren;</w:t>
      </w:r>
    </w:p>
    <w:p>
      <w:pPr>
        <w:ind w:left="420"/>
      </w:pPr>
      <w:r>
        <w:t xml:space="preserve">2. die Erfüllung der beruflichen Pflichten zu überwachen und das Recht der Rüge zu handhaben;</w:t>
      </w:r>
    </w:p>
    <w:p>
      <w:pPr>
        <w:ind w:left="420"/>
      </w:pPr>
      <w:r>
        <w:t xml:space="preserve">3. die zuständige Stelle des Staates der Niederlassung über Entscheidungen zu unterrichten, die hinsichtlich eines dienstleistenden europäischen Rechtsanwalts getroffen worden sind;</w:t>
      </w:r>
    </w:p>
    <w:p>
      <w:pPr>
        <w:ind w:left="420"/>
      </w:pPr>
      <w:r>
        <w:t xml:space="preserve">4. die erforderlichen Auskünfte beruflicher Art über dienstleistende europäische Rechtsanwälte einzuholen;</w:t>
      </w:r>
    </w:p>
    <w:p>
      <w:pPr>
        <w:ind w:left="420"/>
      </w:pPr>
      <w:r>
        <w:t xml:space="preserve">5. auf Antrag bei Streitigkeiten zwischen dienstleistenden europäischen Rechtsanwälten und inländischen Rechtsanwälten zu vermitteln; dies umfasst die Befugnis, Schlichtungsvorschläge zu unterbreiten;</w:t>
      </w:r>
    </w:p>
    <w:p>
      <w:pPr>
        <w:ind w:left="420"/>
      </w:pPr>
      <w:r>
        <w:t xml:space="preserve">6. auf Antrag bei Streitigkeiten zwischen dienstleistenden europäischen Rechtsanwälten und ihrer Mandantschaft zu vermitteln; dies umfasst die Befugnis, Schlichtungsvorschläge zu unterbreiten.</w:t>
      </w:r>
    </w:p>
    <w:p>
      <w:r>
        <w:t xml:space="preserve">(2) Der Vorstand kann die in Absatz 1 Nr. 1, 3 bis 6 bezeichneten Aufgaben einzelnen Mitgliedern des Vorstands übertragen.</w:t>
      </w:r>
    </w:p>
    <w:p>
      <w:r>
        <w:t xml:space="preserve">(3) Die §§ 56 bis 58, 73 Absatz 3 sowie die §§ 74, 74a, 195, 197a bis 199, 205 und 205a der Bundesrechtsanwaltsordnung gelten entsprechend.</w:t>
      </w:r>
    </w:p>
    <w:p>
      <w:r>
        <w:t xml:space="preserve">(4) Die Zuständigkeit der Rechtsanwaltskammer für die Aufsicht nach Absatz 1 richtet sich nach dem Staat der Niederlassung des dienstleistenden europäischen Rechtsanwalts. Die Aufsicht wird ausgeübt für dienstleistende europäische Rechtsanwälte aus</w:t>
      </w:r>
    </w:p>
    <w:p>
      <w:pPr>
        <w:ind w:left="420"/>
      </w:pPr>
      <w:r>
        <w:t xml:space="preserve">1. Belgien und den Niederlanden durch die Rechtsanwaltskammer Düsseldorf in Düsseldorf,</w:t>
      </w:r>
    </w:p>
    <w:p>
      <w:pPr>
        <w:ind w:left="420"/>
      </w:pPr>
      <w:r>
        <w:t xml:space="preserve">2. Frankreich und Luxemburg durch die Rechtsanwaltskammer für den Oberlandesgerichtsbezirk Koblenz in Koblenz,</w:t>
      </w:r>
    </w:p>
    <w:p>
      <w:pPr>
        <w:ind w:left="420"/>
      </w:pPr>
      <w:r>
        <w:t xml:space="preserve">3. Irland, Finnland und Schweden durch die Hanseatische Rechtsanwaltskammer in Hamburg,</w:t>
      </w:r>
    </w:p>
    <w:p>
      <w:pPr>
        <w:ind w:left="420"/>
      </w:pPr>
      <w:r>
        <w:t xml:space="preserve">4. Italien und Österreich durch die Rechtsanwaltskammer für den Oberlandesgerichtsbezirk München in München,</w:t>
      </w:r>
    </w:p>
    <w:p>
      <w:pPr>
        <w:ind w:left="420"/>
      </w:pPr>
      <w:r>
        <w:t xml:space="preserve">5. Dänemark, Norwegen und Island durch die Schleswig-Holsteinische Rechtsanwaltskammer in Schleswig,</w:t>
      </w:r>
    </w:p>
    <w:p>
      <w:pPr>
        <w:ind w:left="420"/>
      </w:pPr>
      <w:r>
        <w:t xml:space="preserve">6. Liechtenstein und der Schweiz durch die Rechtsanwaltskammer Freiburg in Freiburg,</w:t>
      </w:r>
    </w:p>
    <w:p>
      <w:pPr>
        <w:ind w:left="420"/>
      </w:pPr>
      <w:r>
        <w:t xml:space="preserve">7. Griechenland und der Republik Zypern durch die Rechtsanwaltskammer für den Oberlandesgerichtsbezirk Celle in Celle,</w:t>
      </w:r>
    </w:p>
    <w:p>
      <w:pPr>
        <w:ind w:left="420"/>
      </w:pPr>
      <w:r>
        <w:t xml:space="preserve">8. Spanien und Estland durch die Rechtsanwaltskammer Stuttgart in Stuttgart,</w:t>
      </w:r>
    </w:p>
    <w:p>
      <w:pPr>
        <w:ind w:left="420"/>
      </w:pPr>
      <w:r>
        <w:t xml:space="preserve">9. Portugal durch die Rechtsanwaltskammer für den Oberlandesgerichtsbezirk Oldenburg in Oldenburg,</w:t>
      </w:r>
    </w:p>
    <w:p>
      <w:pPr>
        <w:ind w:left="420"/>
      </w:pPr>
      <w:r>
        <w:t xml:space="preserve">10. der Tschechischen Republik und der Slowakei durch die Rechtsanwaltskammer Sachsen in Dresden,</w:t>
      </w:r>
    </w:p>
    <w:p>
      <w:pPr>
        <w:ind w:left="420"/>
      </w:pPr>
      <w:r>
        <w:t xml:space="preserve">11. Polen durch die Rechtsanwaltskammer des Landes Brandenburg in Brandenburg an der Havel,</w:t>
      </w:r>
    </w:p>
    <w:p>
      <w:pPr>
        <w:ind w:left="420"/>
      </w:pPr>
      <w:r>
        <w:t xml:space="preserve">12. Lettland und Litauen durch die Rechtsanwaltskammer Mecklenburg-Vorpommern in Schwerin,</w:t>
      </w:r>
    </w:p>
    <w:p>
      <w:pPr>
        <w:ind w:left="420"/>
      </w:pPr>
      <w:r>
        <w:t xml:space="preserve">13. Ungarn durch die Rechtsanwaltskammer Nürnberg in Nürnberg,</w:t>
      </w:r>
    </w:p>
    <w:p>
      <w:pPr>
        <w:ind w:left="420"/>
      </w:pPr>
      <w:r>
        <w:t xml:space="preserve">14. Malta durch die Rechtsanwaltskammer des Landes Sachsen-Anhalt in Magdeburg,</w:t>
      </w:r>
    </w:p>
    <w:p>
      <w:pPr>
        <w:ind w:left="420"/>
      </w:pPr>
      <w:r>
        <w:t xml:space="preserve">15. Slowenien durch die Rechtsanwaltskammer Thüringen in Erfurt,</w:t>
      </w:r>
    </w:p>
    <w:p>
      <w:pPr>
        <w:ind w:left="420"/>
      </w:pPr>
      <w:r>
        <w:t xml:space="preserve">16. Bulgarien durch die Rechtsanwaltskammer Berlin in Berlin,</w:t>
      </w:r>
    </w:p>
    <w:p>
      <w:pPr>
        <w:ind w:left="420"/>
      </w:pPr>
      <w:r>
        <w:t xml:space="preserve">17. Rumänien durch die Rechtsanwaltskammer Frankfurt am Main in Frankfurt am Main,</w:t>
      </w:r>
    </w:p>
    <w:p>
      <w:pPr>
        <w:ind w:left="420"/>
      </w:pPr>
      <w:r>
        <w:t xml:space="preserve">18. Kroatien durch die Rechtsanwaltskammer Tübingen in Tübingen.</w:t>
      </w:r>
    </w:p>
    <w:p>
      <w:r>
        <w:rPr>
          <w:color w:val="555555"/>
          <w:sz w:val="17"/>
        </w:rPr>
        <w:t xml:space="preserve">Zitiervorschlag: § 32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