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EuRAG — Besonderheiten bei Verteidigung</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(1) Der dienstleistende europäische Rechtsanwalt darf einen Mandanten, dem in einem Strafverfahren die Freiheit auf Grund gerichtlicher oder behördlicher Anordnung entzogen ist, nur in Begleitung eines Einvernehmensanwalts nach § 28 Abs. 1 besuchen und mit dem Mandanten nur über einen solchen schriftlich verkehren. Mit dem Einvernehmensanwalt ist das Einvernehmen über die Ausübung des Besuchs- und Schriftverkehrs herzustellen.</w:t>
      </w:r>
    </w:p>
    <w:p>
      <w:r>
        <w:t xml:space="preserve">(2) Das Gericht oder die Behörde kann den Besuch ohne Begleitung oder den unmittelbaren schriftlichen Verkehr gestatten, wenn eine Gefährdung der Sicherheit nicht zu besorgen ist.</w:t>
      </w:r>
    </w:p>
    <w:p>
      <w:r>
        <w:t xml:space="preserve">(3) Die §§ 138a bis 138d, 146, 146a und 148 der Strafprozessordnung sowie die im jeweiligen Fall für den Besuch von und den Schriftwechsel mit Verteidigern geltenden Vorschriften des Strafvollzugsgesetzes oder des Justizvollzugsgesetzes des Landes sind auf den Einvernehmensanwalt entsprechend anzuwenden.</w:t>
      </w:r>
    </w:p>
    <w:p>
      <w:r>
        <w:rPr>
          <w:color w:val="555555"/>
          <w:sz w:val="17"/>
        </w:rPr>
        <w:t xml:space="preserve">Zitiervorschlag: § 30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