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EuRAG — Nachweis des Einvernehmens, Widerruf</w:t>
      </w:r>
    </w:p>
    <w:p>
      <w:r>
        <w:rPr>
          <w:color w:val="555555"/>
          <w:sz w:val="18"/>
        </w:rPr>
        <w:t xml:space="preserve">Gesetz über die Tätigkeit europäischer Rechtsanwälte in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Einvernehmen ist bei der ersten Handlung gegenüber dem Gericht oder der Behörde schriftlich nachzuweisen.</w:t>
      </w:r>
    </w:p>
    <w:p>
      <w:r>
        <w:t xml:space="preserve">(2) Ein Widerruf des Einvernehmens ist schriftlich gegenüber dem Gericht oder der Behörde zu erklären. Er hat Wirkung nur für die Zukunft.</w:t>
      </w:r>
    </w:p>
    <w:p>
      <w:r>
        <w:t xml:space="preserve">(3) Handlungen, für die der Nachweis des Einvernehmens zum Zeitpunkt ihrer Vornahme nicht vorliegt, sind unwirksam.</w:t>
      </w:r>
    </w:p>
    <w:p>
      <w:r>
        <w:rPr>
          <w:color w:val="555555"/>
          <w:sz w:val="17"/>
        </w:rPr>
        <w:t xml:space="preserve">Zitiervorschlag: § 29 EuRAG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https://recht.nulegal.eu/gesetze/EuRAG/29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