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EuRAG — Prüfungsentscheidung</w:t>
      </w:r>
    </w:p>
    <w:p>
      <w:r>
        <w:rPr>
          <w:color w:val="555555"/>
          <w:sz w:val="18"/>
        </w:rPr>
        <w:t xml:space="preserve">Gesetz über die Tätigkeit europäischer Rechtsanwälte in Deutschland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Prüfungskommission entscheidet auf Grund des Gesamteindrucks der Leistungen in der schriftlichen und mündlichen Prüfung mit Stimmenmehrheit, ob die antragstellende Person über die nach § 17 erforderlichen Kenntnisse verfügt.</w:t>
      </w:r>
    </w:p>
    <w:p>
      <w:r>
        <w:rPr>
          <w:color w:val="555555"/>
          <w:sz w:val="17"/>
        </w:rPr>
        <w:t xml:space="preserve">Zitiervorschlag: § 22 EuRAG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https://recht.nulegal.eu/gesetze/EuRAG/22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