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EuRAG — Voraussetzungen</w:t>
      </w:r>
    </w:p>
    <w:p>
      <w:r>
        <w:rPr>
          <w:color w:val="555555"/>
          <w:sz w:val="18"/>
        </w:rPr>
        <w:t xml:space="preserve">Gesetz über die Tätigkeit europäischer Rechtsanwälte in Deutschland</w:t>
      </w:r>
    </w:p>
    <w:p>
      <w:r>
        <w:rPr>
          <w:color w:val="555555"/>
          <w:sz w:val="18"/>
        </w:rPr>
        <w:t xml:space="preserve">Stand: 10.06.2019 (konsolidierte Textfassung, kein amtliches Inkrafttretensdatum)</w:t>
      </w:r>
    </w:p>
    <w:p>
      <w:r>
        <w:t xml:space="preserve">(1) Wer mindestens drei Jahre effektiv und regelmäßig als niedergelassener europäischer Rechtsanwalt in Deutschland tätig war, sich dabei im deutschen Recht jedoch nur für kürzere Zeit betätigt hat, wird nach den Vorschriften der §§ 6 bis 36, 46a bis 46c Absatz 1, 4 und 5 der Bundesrechtsanwaltsordnung zur Rechtsanwaltschaft zugelassen, wenn er seine Fähigkeit, die Tätigkeit weiter auszuüben, gemäß §§ 14 und 15 nachweist.</w:t>
      </w:r>
    </w:p>
    <w:p>
      <w:r>
        <w:t xml:space="preserve">(2) Bei ihrer Entscheidung berücksichtigt die Rechtsanwaltskammer Art und Umfang der beruflichen Tätigkeit sowie sämtliche Kenntnisse und Berufserfahrungen im deutschen Recht, ferner die Teilnahme an Kursen und Seminaren über das deutsche Recht einschließlich des Berufsrechts der Rechtsanwälte. § 11 Abs. 1 Satz 2, Abs. 2, 3 gilt entsprechend.</w:t>
      </w:r>
    </w:p>
    <w:p>
      <w:r>
        <w:rPr>
          <w:color w:val="555555"/>
          <w:sz w:val="17"/>
        </w:rPr>
        <w:t xml:space="preserve">Zitiervorschlag: § 13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