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 EuRAG — Voraussetzungen</w:t>
      </w:r>
    </w:p>
    <w:p>
      <w:r>
        <w:rPr>
          <w:color w:val="555555"/>
          <w:sz w:val="18"/>
        </w:rPr>
        <w:t xml:space="preserve">Gesetz über die Tätigkeit europäischer Rechtsanwälte in Deutschland</w:t>
      </w:r>
    </w:p>
    <w:p>
      <w:r>
        <w:rPr>
          <w:color w:val="555555"/>
          <w:sz w:val="18"/>
        </w:rPr>
        <w:t xml:space="preserve">Stand: 10.06.2019 (konsolidierte Textfassung, kein amtliches Inkrafttretensdatum)</w:t>
      </w:r>
    </w:p>
    <w:p>
      <w:r>
        <w:t xml:space="preserve">(1) Wer eine mindestens dreijährige effektive und regelmäßige Tätigkeit als niedergelassener europäischer Rechtsanwalt in Deutschland auf dem Gebiet des deutschen Rechts, einschließlich des Gemeinschaftsrechts, gemäß § 12 nachweist, wird nach den Vorschriften der §§ 6 bis 36, 46a bis 46c Absatz 1, 4 und 5 der Bundesrechtsanwaltsordnung zur Rechtsanwaltschaft zugelassen. Effektive und regelmäßige Tätigkeit ist die tatsächliche Ausübung des Berufs ohne Unterbrechung; Unterbrechungen auf Grund von Ereignissen des täglichen Lebens bleiben außer Betracht.</w:t>
      </w:r>
    </w:p>
    <w:p>
      <w:r>
        <w:t xml:space="preserve">(2) Unterbrechungen bis zu einer Dauer von drei Wochen sind in der Regel Unterbrechungen auf Grund von Ereignissen des täglichen Lebens. Bei längeren Unterbrechungen sind die Umstände des Einzelfalls maßgeblich. Bei der Beurteilung berücksichtigt die Rechtsanwaltskammer den Grund, die Dauer und die Häufigkeit der Unterbrechung.</w:t>
      </w:r>
    </w:p>
    <w:p>
      <w:r>
        <w:t xml:space="preserve">(3) Hat eine Unterbrechung stattgefunden, die nicht auf Grund von Ereignissen des täglichen Lebens eingetreten ist, so wird die bis dahin ausgeübte Tätigkeit nach Absatz 1 Satz 1 berücksichtigt, wenn insgesamt eine mindestens dreijährige Tätigkeit nachgewiesen wird und die Unterbrechung einer Beurteilung der Tätigkeit als effektiv und regelmäßig nicht entgegensteht. Die Dauer einer solchen Unterbrechung wird bei der Berechnung des Dreijahreszeitraums nicht berücksichtigt.</w:t>
      </w:r>
    </w:p>
    <w:p>
      <w:r>
        <w:rPr>
          <w:color w:val="555555"/>
          <w:sz w:val="17"/>
        </w:rPr>
        <w:t xml:space="preserve">Zitiervorschlag: § 11 EuRAG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https://recht.nulegal.eu/gesetze/EuRAG/11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