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EuPatAnmVeröffV</w:t>
      </w:r>
    </w:p>
    <w:p>
      <w:r>
        <w:rPr>
          <w:color w:val="555555"/>
          <w:sz w:val="18"/>
        </w:rPr>
        <w:t xml:space="preserve">Verordnung über die Übersetzungen der Ansprüche europäischer Patentanmeldungen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Artikels II § 2 Abs. 2 Satz 1 des Gesetzes über internationale Patentübereinkommen vom 21. Juni 1976 (BGBl. II S. 649) in Verbindung mit § 1 der Verordnung über die Übertragung der Ermächtigung nach Artikel II § 2 Abs. 2 des Gesetzes über internationale Patentübereinkommen vom 27. November 1978 (BGBl. II S. 1377) wird verordnet:</w:t>
      </w:r>
    </w:p>
    <w:p>
      <w:r>
        <w:rPr>
          <w:color w:val="555555"/>
          <w:sz w:val="17"/>
        </w:rPr>
        <w:t xml:space="preserve">Zitiervorschlag: Eingangsformel EuPatAnmVeröffV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https://recht.nulegal.eu/gesetze/EuPatAnmVer%C3%B6ffV/eingangsformel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