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EuPAG — Prüfungsleistungen</w:t>
      </w:r>
    </w:p>
    <w:p>
      <w:r>
        <w:rPr>
          <w:color w:val="555555"/>
          <w:sz w:val="18"/>
        </w:rPr>
        <w:t xml:space="preserve">Gesetz über die Tätigkeit europäischer Patentanwälte in Deutschland</w:t>
      </w:r>
    </w:p>
    <w:p>
      <w:r>
        <w:rPr>
          <w:color w:val="555555"/>
          <w:sz w:val="18"/>
        </w:rPr>
        <w:t xml:space="preserve">Stand: 01.08.2021 (konsolidierte Textfassung, kein amtliches Inkrafttretensdatum)</w:t>
      </w:r>
    </w:p>
    <w:p>
      <w:r>
        <w:t xml:space="preserve">(1) Die Eignungsprüfung besteht aus einem schriftlichen und einem mündlichen Teil. Sie wird in deutscher Sprache abgelegt.</w:t>
      </w:r>
    </w:p>
    <w:p>
      <w:r>
        <w:t xml:space="preserve">(2) Die Prüfungskommission erlässt dem Prüfling auf Antrag einzelne Prüfungsleistungen ganz oder teilweise, wenn er nachweist, dass er durch seine berufliche Ausbildung oder anderweitig, insbesondere durch Berufspraxis oder Weiterbildungsmaßnahmen, in einem Prüfungsgebiet die für die Ausübung des Patentanwaltsberufs in Deutschland erforderlichen materiell-rechtlichen und verfahrensrechtlichen Kenntnisse im deutschen Recht erworben hat. Ein Antrag nach Satz 1 soll möglichst zusammen mit dem Antrag nach § 1 Absatz 1 gestellt werden. Die Prüfungskommission kann vor dem Erlass von Prüfungsleistungen eine Stellungnahme der Patentanwaltskammer einholen.</w:t>
      </w:r>
    </w:p>
    <w:p>
      <w:r>
        <w:t xml:space="preserve">(3) Die schriftliche Prüfung, die auch elektronisch durchgeführt werden kann, umfasst vier Klausuren. Der Schwerpunkt je einer Klausur hat auf je einem der in § 5 Nummer 1 bis 4 genannten Prüfungsfächer zu liegen.</w:t>
      </w:r>
    </w:p>
    <w:p>
      <w:r>
        <w:t xml:space="preserve">(4) Der Prüfling wird zur mündlichen Prüfung nur zugelassen, wenn mindestens zwei Klausuren den Anforderungen genügen; anderenfalls gilt die Prüfung als nicht bestanden. Sofern dem Prüfling Klausuren nach Absatz 2 vollständig erlassen wurden, sind diese als den Anforderungen genügend im Sinne des Satzes 1 zu werten.</w:t>
      </w:r>
    </w:p>
    <w:p>
      <w:r>
        <w:rPr>
          <w:color w:val="555555"/>
          <w:sz w:val="17"/>
        </w:rPr>
        <w:t xml:space="preserve">Zitiervorschlag: § 6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