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 EuPAG — Statistik</w:t>
      </w:r>
    </w:p>
    <w:p>
      <w:r>
        <w:rPr>
          <w:color w:val="555555"/>
          <w:sz w:val="18"/>
        </w:rPr>
        <w:t xml:space="preserve">Gesetz über die Tätigkeit europäischer Patentanwälte in Deutschland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Über Verfahren nach den §§ 1, 12 und 15 wird eine Bundesstatistik geführt. § 17 des Berufsqualifikationsfeststellungsgesetzes ist anzuwenden.</w:t>
      </w:r>
    </w:p>
    <w:p>
      <w:r>
        <w:rPr>
          <w:color w:val="555555"/>
          <w:sz w:val="17"/>
        </w:rPr>
        <w:t xml:space="preserve">Zitiervorschlag: § 27 EuPAG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https://recht.nulegal.eu/gesetze/EuPAG/27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