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EuPAG — Entscheidung über den Antrag</w:t>
      </w:r>
    </w:p>
    <w:p>
      <w:r>
        <w:rPr>
          <w:color w:val="555555"/>
          <w:sz w:val="18"/>
        </w:rPr>
        <w:t xml:space="preserve">Gesetz über die Tätigkeit europäischer Patentanwälte in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Deutsche Patent- und Markenamt bestätigt den Eingang des Antrags nach § 1 innerhalb eines Monats. Innerhalb dieser Frist teilt es der antragstellenden Person auch mit, ob Dokumente fehlen oder von Dokumenten einfache oder beglaubigte Übersetzungen vorzulegen sind. Das Deutsche Patent- und Markenamt entscheidet über den Antrag spätestens vier Monate nach Eingang aller erforderlichen Dokumente.</w:t>
      </w:r>
    </w:p>
    <w:p>
      <w:r>
        <w:t xml:space="preserve">(2) Das Deutsche Patent- und Markenamt lehnt den Antrag ab, wenn die antragstellende Person die Voraussetzungen des § 1 Absatz 2 und 3 nicht erfüllt oder die erforderlichen Dokumente nicht vorlegt.</w:t>
      </w:r>
    </w:p>
    <w:p>
      <w:r>
        <w:t xml:space="preserve">(3) Das Deutsche Patent- und Markenamt erlegt der antragstellenden Person die Ablegung einer Eignungsprüfung auf, wenn</w:t>
      </w:r>
    </w:p>
    <w:p>
      <w:pPr>
        <w:ind w:left="420"/>
      </w:pPr>
      <w:r>
        <w:t xml:space="preserve">1. sich ihre berufliche Ausbildung auf Fächer bezog, die sich wesentlich von denen unterscheiden, die für die Ausübung des Berufs des Patentanwalts in Deutschland erforderlich sind, und</w:t>
      </w:r>
    </w:p>
    <w:p>
      <w:pPr>
        <w:ind w:left="420"/>
      </w:pPr>
      <w:r>
        <w:t xml:space="preserve">2. diese Unterschiede nicht anderweitig, insbesondere durch Berufspraxis oder Weiterbildungsmaßnahmen, ausgeglichen wurden.</w:t>
      </w:r>
    </w:p>
    <w:p>
      <w:r>
        <w:t xml:space="preserve">Die Auferlegung einer Eignungsprüfung gilt als Entscheidung nach Absatz 1 Satz 3. Beabsichtigt das Deutsche Patent- und Markenamt, von der Auferlegung einer Eignungsprüfung abzusehen, so hat es zuvor eine Stellungnahme der Patentanwaltskammer einzuholen.</w:t>
      </w:r>
    </w:p>
    <w:p>
      <w:r>
        <w:t xml:space="preserve">(4) Das Deutsche Patent- und Markenamt hat die Auferlegung einer Eignungsprüfung zu begründen und der antragstellenden Person dabei mitzuteilen,</w:t>
      </w:r>
    </w:p>
    <w:p>
      <w:pPr>
        <w:ind w:left="420"/>
      </w:pPr>
      <w:r>
        <w:t xml:space="preserve">1. welchem Qualifikationsniveau nach Artikel 11 der Richtlinie 2005/36/EG in der jeweils geltenden Fassung zum einen die von ihr erlangte Berufsqualifikation und zum anderen die nach § 5 Absatz 2 der Patentanwaltsordnung geforderte Berufsqualifikation entspricht und</w:t>
      </w:r>
    </w:p>
    <w:p>
      <w:pPr>
        <w:ind w:left="420"/>
      </w:pPr>
      <w:r>
        <w:t xml:space="preserve">2. worin die Unterschiede nach Absatz 3 Satz 1 Nummer 1 liegen und warum diese nicht nach Absatz 3 Satz 1 Nummer 2 als ausgeglichen anzusehen sind.</w:t>
      </w:r>
    </w:p>
    <w:p>
      <w:r>
        <w:t xml:space="preserve">(5) Wer die Voraussetzungen des § 1 unmittelbar erfüllt oder die Eignungsprüfung besteht, erhält hierüber vom Deutschen Patent- und Markenamt eine Bescheinigung und wird nach den §§ 13 bis 34 und 41b bis 41d Absatz 1, 4 und 5 der Patentanwaltsordnung von der Patentanwaltskammer zur Patentanwaltschaft zugelassen.</w:t>
      </w:r>
    </w:p>
    <w:p>
      <w:r>
        <w:t xml:space="preserve">(6) Wer über eine Bescheinigung nach Absatz 5 verfügt, ist berechtigt, die Bezeichnung „Patentassessor“ oder „Patentassessorin“ zu führen.</w:t>
      </w:r>
    </w:p>
    <w:p>
      <w:r>
        <w:rPr>
          <w:color w:val="555555"/>
          <w:sz w:val="17"/>
        </w:rPr>
        <w:t xml:space="preserve">Zitiervorschlag: § 2 EuPAG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https://recht.nulegal.eu/gesetze/EuPAG/2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