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EuPAG — Rechte und Pflichten</w:t>
      </w:r>
    </w:p>
    <w:p>
      <w:r>
        <w:rPr>
          <w:color w:val="555555"/>
          <w:sz w:val="18"/>
        </w:rPr>
        <w:t xml:space="preserve">Gesetz über die Tätigkeit europäischer Patentanwälte in Deutschland</w:t>
      </w:r>
    </w:p>
    <w:p>
      <w:r>
        <w:rPr>
          <w:color w:val="555555"/>
          <w:sz w:val="18"/>
        </w:rPr>
        <w:t xml:space="preserve">Stand: 01.08.2022 (konsolidierte Textfassung, kein amtliches Inkrafttretensdatum)</w:t>
      </w:r>
    </w:p>
    <w:p>
      <w:r>
        <w:t xml:space="preserve">Der dienstleistende europäische Patentanwalt hat die Stellung eines inländischen Patentanwalts, insbesondere dessen Rechte und Pflichten, soweit diese nicht die Zugehörigkeit zur Patentanwaltskammer sowie die Kanzlei betreffen. Von den Vorschriften des Dritten Teils der Patentanwaltsordnung gelten nur die §§ 39, 39a Absatz 1 bis 5, §§ 39b, 39c, 41, 45b und 51. § 18 Absatz 2 bleibt unberührt. Die Vorschriften der nach § 52a der Patentanwaltsordnung erlassenen Berufsordnung gelten, soweit sie die §§ 39, 39a Absatz 1 bis 5, §§ 39b, 41 und 49a Absatz 1 der Patentanwaltsordnung näher ausgestalten.</w:t>
      </w:r>
    </w:p>
    <w:p>
      <w:r>
        <w:rPr>
          <w:color w:val="555555"/>
          <w:sz w:val="17"/>
        </w:rPr>
        <w:t xml:space="preserve">Zitiervorschlag: § 16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