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EuPAG — Dienstleistender europäischer Patentanwalt</w:t>
      </w:r>
    </w:p>
    <w:p>
      <w:r>
        <w:rPr>
          <w:color w:val="555555"/>
          <w:sz w:val="18"/>
        </w:rPr>
        <w:t xml:space="preserve">Gesetz über die Tätigkeit europäischer Patentanwälte in Deutschland</w:t>
      </w:r>
    </w:p>
    <w:p>
      <w:r>
        <w:rPr>
          <w:color w:val="555555"/>
          <w:sz w:val="18"/>
        </w:rPr>
        <w:t xml:space="preserve">Stand: 10.06.2019 (konsolidierte Textfassung, kein amtliches Inkrafttretensdatum)</w:t>
      </w:r>
    </w:p>
    <w:p>
      <w:r>
        <w:t xml:space="preserve">(1) Natürliche Personen, die in einem anderen Mitgliedstaat zur Ausübung des Berufs des Patentanwalts rechtmäßig niedergelassen sind, dürfen die Tätigkeiten eines Patentanwalts in Deutschland vorübergehend und gelegentlich ausüben (dienstleistender europäischer Patentanwalt). Ob die Tätigkeiten vorübergehend und gelegentlich erbracht werden, ist im Einzelfall insbesondere anhand der Dauer, der Häufigkeit, der regelmäßigen Wiederkehr und der Kontinuität der Dienstleistung zu beurteilen.</w:t>
      </w:r>
    </w:p>
    <w:p>
      <w:r>
        <w:t xml:space="preserve">(2) Der dienstleistende europäische Patentanwalt hat seine Tätigkeit unter der in seinem Niederlassungsstaat geltenden Berufsbezeichnung zu erbringen. Eine Verwechslung mit der Berufsbezeichnung „Patentanwalt“ oder „Patentanwältin“ muss ausgeschlossen sein. Die Bezeichnung „europäischer Patentanwalt“ darf als Berufsbezeichnung und in der Werbung nicht verwendet werden.</w:t>
      </w:r>
    </w:p>
    <w:p>
      <w:r>
        <w:rPr>
          <w:color w:val="555555"/>
          <w:sz w:val="17"/>
        </w:rPr>
        <w:t xml:space="preserve">Zitiervorschlag: § 13 EuPAG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https://recht.nulegal.eu/gesetze/EuPAG/13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