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EuPAG — Verordnungsermächtigung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ohne Zustimmung des Bundesrates die Einzelheiten der Eignungsprüfung zu regeln, insbesondere</w:t>
      </w:r>
    </w:p>
    <w:p>
      <w:pPr>
        <w:ind w:left="420"/>
      </w:pPr>
      <w:r>
        <w:t xml:space="preserve">1. die prüfenden Personen,</w:t>
      </w:r>
    </w:p>
    <w:p>
      <w:pPr>
        <w:ind w:left="420"/>
      </w:pPr>
      <w:r>
        <w:t xml:space="preserve">2. den Ablauf des Prüfungsverfahrens,</w:t>
      </w:r>
    </w:p>
    <w:p>
      <w:pPr>
        <w:ind w:left="420"/>
      </w:pPr>
      <w:r>
        <w:t xml:space="preserve">3. die Prüfungsleistungen,</w:t>
      </w:r>
    </w:p>
    <w:p>
      <w:pPr>
        <w:ind w:left="420"/>
      </w:pPr>
      <w:r>
        <w:t xml:space="preserve">4. die Folgen eines ordnungswidrigen Verhaltens,</w:t>
      </w:r>
    </w:p>
    <w:p>
      <w:pPr>
        <w:ind w:left="420"/>
      </w:pPr>
      <w:r>
        <w:t xml:space="preserve">5. den Erlass von Prüfungsleistungen,</w:t>
      </w:r>
    </w:p>
    <w:p>
      <w:pPr>
        <w:ind w:left="420"/>
      </w:pPr>
      <w:r>
        <w:t xml:space="preserve">6. die Wiederholung der Prüfung,</w:t>
      </w:r>
    </w:p>
    <w:p>
      <w:pPr>
        <w:ind w:left="420"/>
      </w:pPr>
      <w:r>
        <w:t xml:space="preserve">7. die Zahl der Wiederholungsmöglichkeiten sowie</w:t>
      </w:r>
    </w:p>
    <w:p>
      <w:pPr>
        <w:ind w:left="420"/>
      </w:pPr>
      <w:r>
        <w:t xml:space="preserve">8. die Höhe und die Zahlung der Prüfungsgebühr.</w:t>
      </w:r>
    </w:p>
    <w:p>
      <w:r>
        <w:rPr>
          <w:color w:val="555555"/>
          <w:sz w:val="17"/>
        </w:rPr>
        <w:t xml:space="preserve">Zitiervorschlag: § 10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