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EuLabMolBioVorRV</w:t>
      </w:r>
    </w:p>
    <w:p>
      <w:r>
        <w:rPr>
          <w:color w:val="555555"/>
          <w:sz w:val="18"/>
        </w:rPr>
        <w:t xml:space="preserve">Verordnung über die Gewährung von Vorrechten und Befreiungen an das Europäische Laboratorium für Molekularbiologie</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1954 II S. 639), zuletzt geändert durch das Gesetz vom 28. Februar 1964 (Bundesgesetzbl. II S. 187), verordnet die Bundesregierung mit Zustimmung des Bundesrates:</w:t>
      </w:r>
    </w:p>
    <w:p>
      <w:r>
        <w:rPr>
          <w:color w:val="555555"/>
          <w:sz w:val="17"/>
        </w:rPr>
        <w:t xml:space="preserve">Zitiervorschlag: Eingangsformel EuLabMolBioVorRV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https://recht.nulegal.eu/gesetze/EuLabMolBioVorRV/eingangsformel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