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 EuGVVO</w:t>
      </w:r>
    </w:p>
    <w:p>
      <w:r>
        <w:rPr>
          <w:color w:val="555555"/>
          <w:sz w:val="18"/>
        </w:rPr>
        <w:t xml:space="preserve">EuGVVO</w:t>
      </w:r>
    </w:p>
    <w:p>
      <w:r>
        <w:rPr>
          <w:color w:val="555555"/>
          <w:sz w:val="18"/>
        </w:rPr>
        <w:t xml:space="preserve">Stand: 03.07.2026 (konsolidierte Textfassung, kein amtliches Inkrafttretensdatum)</w:t>
      </w:r>
    </w:p>
    <w:p>
      <w:r>
        <w:t xml:space="preserve">Ist ein Gericht eines Mitgliedstaats nach dieser Verordnung zur Entscheidung in Verfahren wegen einer Haftpflicht aufgrund der Verwendung oder des Betriebs eines Schiffes zuständig, so entscheidet dieses oder ein anderes an seiner Stelle durch das Recht dieses Mitgliedstaats bestimmtes Gericht auch über Klagen auf Beschränkung dieser Haftung.</w:t>
      </w:r>
    </w:p>
    <w:p>
      <w:r>
        <w:rPr>
          <w:color w:val="555555"/>
          <w:sz w:val="17"/>
        </w:rPr>
        <w:t xml:space="preserve">Zitiervorschlag: Art 9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