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81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Diese Verordnung tritt am zwanzigsten Tag nach ihrer Veröffentlichung im Amtsblatt der Europäischen Union in Kraft.</w:t>
      </w:r>
    </w:p>
    <w:p>
      <w:r>
        <w:t xml:space="preserve">Sie gilt ab dem 10. Januar 2015, mit Ausnahme der Artikel 75 und 76, die ab dem 10. Januar 2014 gelten.</w:t>
      </w:r>
    </w:p>
    <w:p>
      <w:r>
        <w:t xml:space="preserve">Diese Verordnung ist in allen ihren Teilen verbindlich und gilt gemäß den Verträgen unmittelbar in den Mitgliedstaaten.</w:t>
      </w:r>
    </w:p>
    <w:p>
      <w:r>
        <w:rPr>
          <w:color w:val="555555"/>
          <w:sz w:val="17"/>
        </w:rPr>
        <w:t xml:space="preserve">Zitiervorschlag: Art 81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