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79 EuGVVO</w:t>
      </w:r>
    </w:p>
    <w:p>
      <w:r>
        <w:rPr>
          <w:color w:val="555555"/>
          <w:sz w:val="18"/>
        </w:rPr>
        <w:t xml:space="preserve">EuGVVO</w:t>
      </w:r>
    </w:p>
    <w:p>
      <w:r>
        <w:rPr>
          <w:color w:val="555555"/>
          <w:sz w:val="18"/>
        </w:rPr>
        <w:t xml:space="preserve">Stand: 03.07.2026 (konsolidierte Textfassung, kein amtliches Inkrafttretensdatum)</w:t>
      </w:r>
    </w:p>
    <w:p>
      <w:r>
        <w:t xml:space="preserve">Die Kommission legt dem Europäischen Parlament, dem Rat und dem Europäischen Wirtschafts- und Sozialausschuss bis zum 11. Januar 2022 einen Bericht über die Anwendung dieser Verordnung vor. Dieser Bericht enthält auch eine Bewertung der Frage, ob die Zuständigkeitsvorschriften weiter ausgedehnt werden sollten auf Beklagte, die ihren Wohnsitz nicht in einem Mitgliedstaat haben, wobei der Funktionsweise dieser Verordnung und möglichen Entwicklungen auf internationaler Ebene Rechnung zu tragen ist. Dem Bericht wird gegebenenfalls ein Vorschlag zur Änderung dieser Verordnung beigefügt.</w:t>
      </w:r>
    </w:p>
    <w:p>
      <w:r>
        <w:rPr>
          <w:color w:val="555555"/>
          <w:sz w:val="17"/>
        </w:rPr>
        <w:t xml:space="preserve">Zitiervorschlag: Art 79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https://recht.nulegal.eu/gesetze/EuGVVO/79</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