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78 EuGVVO</w:t>
      </w:r>
    </w:p>
    <w:p>
      <w:r>
        <w:rPr>
          <w:color w:val="555555"/>
          <w:sz w:val="18"/>
        </w:rPr>
        <w:t xml:space="preserve">EuGVVO</w:t>
      </w:r>
    </w:p>
    <w:p>
      <w:r>
        <w:rPr>
          <w:color w:val="555555"/>
          <w:sz w:val="18"/>
        </w:rPr>
        <w:t xml:space="preserve">Stand: 03.07.2026 (konsolidierte Textfassung, kein amtliches Inkrafttretensdatum)</w:t>
      </w:r>
    </w:p>
    <w:p>
      <w:r>
        <w:t xml:space="preserve">(1) Die der Kommission übertragene Befugnis zum Erlass delegierter Rechtsakte unterliegt den Bedingungen dieses Artikels.</w:t>
      </w:r>
    </w:p>
    <w:p>
      <w:r>
        <w:t xml:space="preserve">(2) Die Befugnis zum Erlass delegierter Rechtsakte gemäß Artikel 77 wird der Kommission auf unbestimmte Zeit ab dem 9. Januar 2013 übertragen.</w:t>
      </w:r>
    </w:p>
    <w:p>
      <w:r>
        <w:t xml:space="preserve">(3) Die Befugnisübertragung gemäß Artikel 77 kann vom Europäischen Parlament oder vom Rat jederzeit widerrufen werden. Der Beschluss über den Widerruf beendet die Übertragung der darin genannten Befugnisse. Der Beschluss tritt am Tag nach Veröffentlichung des Beschlusses im Amtsblatt der Europäischen Union oder zu einem späteren, in dem Beschluss festgelegten Zeitpunkt in Kraft. Er berührt nicht die Gültigkeit bereits in Kraft getretener delegierter Rechtsakte.</w:t>
      </w:r>
    </w:p>
    <w:p>
      <w:r>
        <w:t xml:space="preserve">(4) Sobald die Kommission einen delegierten Rechtsakt erlässt, übermittelt sie ihn gleichzeitig dem Europäischen Parlament und dem Rat.</w:t>
      </w:r>
    </w:p>
    <w:p>
      <w:r>
        <w:t xml:space="preserve">(5) Ein gemäß Artikel 77 erlassener delegierter Rechtsakt tritt nur in Kraft, wenn weder das Europäische Parlament noch der Rat innerhalb einer Frist von zwei Monaten nach Übermittlung dieses Rechtsakts an das Europäische Parlament und den Rat Einwände erhoben hat oder wenn vor Ablauf dieser Frist sowohl das Europäische Parlament als auch der Rat der Kommission mitgeteilt haben, dass sie keine Einwände zu erheben beabsichtigen. Diese Frist wird auf Initiative des Europäischen Parlaments oder des Rates um zwei Monate verlängert.</w:t>
      </w:r>
    </w:p>
    <w:p>
      <w:r>
        <w:rPr>
          <w:color w:val="555555"/>
          <w:sz w:val="17"/>
        </w:rPr>
        <w:t xml:space="preserve">Zitiervorschlag: Art 78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https://recht.nulegal.eu/gesetze/EuGVVO/78</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