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77 EuGVVO</w:t>
      </w:r>
    </w:p>
    <w:p>
      <w:r>
        <w:rPr>
          <w:color w:val="555555"/>
          <w:sz w:val="18"/>
        </w:rPr>
        <w:t xml:space="preserve">EuGVVO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Der Kommission wird die Befugnis übertragen, gemäß Artikel 78 in Bezug auf die Änderung der Anhänge I und II delegierte Rechtsakte zu erlassen.</w:t>
      </w:r>
    </w:p>
    <w:p>
      <w:r>
        <w:rPr>
          <w:color w:val="555555"/>
          <w:sz w:val="17"/>
        </w:rPr>
        <w:t xml:space="preserve">Zitiervorschlag: Art 77 EuGVVO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https://recht.nulegal.eu/gesetze/EuGVVO/77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