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 Mitgliedstaaten notifizieren der Kommission</w:t>
      </w:r>
    </w:p>
    <w:p>
      <w:r>
        <w:t xml:space="preserve">a) die Zuständigkeitsvorschriften nach Artikel 5 Absatz 2 und Artikel 6 Absatz 2,</w:t>
      </w:r>
    </w:p>
    <w:p>
      <w:r>
        <w:t xml:space="preserve">b) die Regeln für die Streitverkündung nach Artikel 65 und</w:t>
      </w:r>
    </w:p>
    <w:p>
      <w:r>
        <w:t xml:space="preserve">c) die Übereinkünfte nach Artikel 69.</w:t>
      </w:r>
    </w:p>
    <w:p>
      <w:r>
        <w:t xml:space="preserve">(2) Die Kommission legt anhand der in Absatz 1 genannten Notifizierungen der Mitgliedstaaten die jeweiligen Listen fest.</w:t>
      </w:r>
    </w:p>
    <w:p>
      <w:r>
        <w:t xml:space="preserve">(3) Die Mitgliedstaaten notifizieren der Kommission alle späteren Änderungen, die an diesen Listen vorgenommen werden müssen. Die Kommission passt diese Listen entsprechend an.</w:t>
      </w:r>
    </w:p>
    <w:p>
      <w:r>
        <w:t xml:space="preserve">(4) Die Kommission veröffentlicht die Listen und alle späteren Änderungen dieser Listen im Amtsblatt der Europäischen Union.</w:t>
      </w:r>
    </w:p>
    <w:p>
      <w:r>
        <w:t xml:space="preserve">(5) Die Kommission stellt der Öffentlichkeit alle nach den Absätzen 1 und 3 notifizierten Informationen auf andere geeignete Weise, insbesondere über das Europäische Justizielle Netz, zur Verfügung.</w:t>
      </w:r>
    </w:p>
    <w:p>
      <w:r>
        <w:rPr>
          <w:color w:val="555555"/>
          <w:sz w:val="17"/>
        </w:rPr>
        <w:t xml:space="preserve">Zitiervorschlag: Art 76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https://recht.nulegal.eu/gesetze/EuGVVO/76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