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75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Die Mitgliedstaaten teilen der Kommission bis zum 10. Januar 2014 mit,</w:t>
      </w:r>
    </w:p>
    <w:p>
      <w:r>
        <w:t xml:space="preserve">a) an welches Gericht der Antrag auf Versagung der Vollstreckung gemäß Artikel 47 Absatz 1 zu richten ist;</w:t>
      </w:r>
    </w:p>
    <w:p>
      <w:r>
        <w:t xml:space="preserve">b) bei welchen Gerichten der Rechtsbehelf gegen die Entscheidung über den Antrag auf Versagung der Vollstreckung gemäß Artikel 49 Absatz 2 einzulegen ist;</w:t>
      </w:r>
    </w:p>
    <w:p>
      <w:r>
        <w:t xml:space="preserve">c) bei welchen Gerichten ein weiterer Rechtsbehelf gemäß Artikel 50 einzulegen ist und</w:t>
      </w:r>
    </w:p>
    <w:p>
      <w:r>
        <w:t xml:space="preserve">d) welche Sprachen für die Übersetzung der Formblätter nach Artikel 57 Absatz 2 zugelassen sind.</w:t>
      </w:r>
    </w:p>
    <w:p>
      <w:r>
        <w:t xml:space="preserve">Die Angaben werden von der Kommission in geeigneter Weise, insbesondere über das Europäische Justizielle Netz für Zivil- und Handelssachen, der Öffentlichkeit zur Verfügung gestellt.</w:t>
      </w:r>
    </w:p>
    <w:p>
      <w:r>
        <w:rPr>
          <w:color w:val="555555"/>
          <w:sz w:val="17"/>
        </w:rPr>
        <w:t xml:space="preserve">Zitiervorschlag: Art 75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https://recht.nulegal.eu/gesetze/EuGVVO/75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