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74 EuGVVO</w:t>
      </w:r>
    </w:p>
    <w:p>
      <w:r>
        <w:rPr>
          <w:color w:val="555555"/>
          <w:sz w:val="18"/>
        </w:rPr>
        <w:t xml:space="preserve">EuGVVO</w:t>
      </w:r>
    </w:p>
    <w:p>
      <w:r>
        <w:rPr>
          <w:color w:val="555555"/>
          <w:sz w:val="18"/>
        </w:rPr>
        <w:t xml:space="preserve">Stand: 03.07.2026 (konsolidierte Textfassung, kein amtliches Inkrafttretensdatum)</w:t>
      </w:r>
    </w:p>
    <w:p>
      <w:r>
        <w:t xml:space="preserve">Die Mitgliedstaaten übermitteln im Rahmen des Europäischen Justiziellen Netzes für Zivil- und Handelssachen eine Beschreibung der einzelstaatlichen Vollstreckungsvorschriften und -verfahren, einschließlich Angaben über die Vollstreckungsbehörden, sowie Informationen über alle Vollstreckungsbeschränkungen, insbesondere über Schuldnerschutzvorschriften und Verjährungsfristen, im Hinblick auf die Bereitstellung dieser Informationen für die Öffentlichkeit.</w:t>
      </w:r>
    </w:p>
    <w:p>
      <w:r>
        <w:t xml:space="preserve">Die Mitgliedstaaten halten diese Informationen stets auf dem neuesten Stand.</w:t>
      </w:r>
    </w:p>
    <w:p>
      <w:r>
        <w:rPr>
          <w:color w:val="555555"/>
          <w:sz w:val="17"/>
        </w:rPr>
        <w:t xml:space="preserve">Zitiervorschlag: Art 74 EuGVVO</w:t>
      </w:r>
    </w:p>
    <w:p>
      <w:r>
        <w:rPr>
          <w:color w:val="555555"/>
          <w:sz w:val="17"/>
        </w:rPr>
        <w:t xml:space="preserve">Quelle: EUR-Lex, abgerufen 03.07.2026</w:t>
      </w:r>
    </w:p>
    <w:p>
      <w:r>
        <w:rPr>
          <w:color w:val="555555"/>
          <w:sz w:val="17"/>
        </w:rPr>
        <w:t xml:space="preserve">Nicht-amtliche konsolidierte Fassung — verbindlich ist der im Amtsblatt der Europäischen Union veröffentlichte Wortlaut (eur-lex.europa.eu: https://eur-lex.europa.eu)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https://recht.nulegal.eu/gesetze/EuGVVO/74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